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16"/>
      </w:tblGrid>
      <w:tr w:rsidR="00522DDE" w14:paraId="2B100428" w14:textId="77777777" w:rsidTr="008B16CD">
        <w:tc>
          <w:tcPr>
            <w:tcW w:w="10456" w:type="dxa"/>
            <w:gridSpan w:val="2"/>
          </w:tcPr>
          <w:p w14:paraId="798BB5B3" w14:textId="77777777" w:rsidR="00903937" w:rsidRPr="0007546E" w:rsidRDefault="00DA4987" w:rsidP="002017F1">
            <w:pPr>
              <w:widowControl w:val="0"/>
              <w:spacing w:after="360" w:line="202" w:lineRule="auto"/>
              <w:jc w:val="center"/>
              <w:rPr>
                <w:rFonts w:ascii="Century Gothic" w:hAnsi="Century Gothic"/>
                <w:b/>
                <w:bCs/>
                <w:color w:val="0070C0"/>
                <w:sz w:val="84"/>
                <w:szCs w:val="84"/>
                <w14:ligatures w14:val="none"/>
              </w:rPr>
            </w:pPr>
            <w:bookmarkStart w:id="0" w:name="_Hlk42854349"/>
            <w:bookmarkStart w:id="1" w:name="_GoBack"/>
            <w:bookmarkEnd w:id="1"/>
            <w:r>
              <w:rPr>
                <w:rFonts w:ascii="Century Gothic" w:hAnsi="Century Gothic"/>
                <w:b/>
                <w:bCs/>
                <w:color w:val="0070C0"/>
                <w:sz w:val="84"/>
                <w:szCs w:val="84"/>
                <w14:ligatures w14:val="none"/>
              </w:rPr>
              <w:t>Manna Gum Community House</w:t>
            </w:r>
          </w:p>
          <w:p w14:paraId="7FC6811F" w14:textId="77777777" w:rsidR="00522DDE" w:rsidRDefault="00522DDE" w:rsidP="00903937">
            <w:pPr>
              <w:widowControl w:val="0"/>
              <w:spacing w:line="201" w:lineRule="auto"/>
              <w:jc w:val="center"/>
              <w:rPr>
                <w:rFonts w:ascii="Century Gothic" w:hAnsi="Century Gothic"/>
                <w:color w:val="00B0F0"/>
                <w:sz w:val="52"/>
                <w:szCs w:val="52"/>
                <w14:ligatures w14:val="none"/>
              </w:rPr>
            </w:pPr>
            <w:r w:rsidRPr="00D24894">
              <w:rPr>
                <w:rFonts w:ascii="Century Gothic" w:hAnsi="Century Gothic"/>
                <w:color w:val="00B0F0"/>
                <w:sz w:val="52"/>
                <w:szCs w:val="52"/>
                <w14:ligatures w14:val="none"/>
              </w:rPr>
              <w:t xml:space="preserve">Real </w:t>
            </w:r>
            <w:r w:rsidRPr="00D24894">
              <w:rPr>
                <w:rFonts w:ascii="Century Gothic" w:hAnsi="Century Gothic"/>
                <w:b/>
                <w:bCs/>
                <w:color w:val="00B0F0"/>
                <w:sz w:val="52"/>
                <w:szCs w:val="52"/>
                <w14:ligatures w14:val="none"/>
              </w:rPr>
              <w:t>Impact</w:t>
            </w:r>
            <w:r w:rsidRPr="00D24894">
              <w:rPr>
                <w:rFonts w:ascii="Century Gothic" w:hAnsi="Century Gothic"/>
                <w:color w:val="00B0F0"/>
                <w:sz w:val="52"/>
                <w:szCs w:val="52"/>
                <w14:ligatures w14:val="none"/>
              </w:rPr>
              <w:t xml:space="preserve">. Real </w:t>
            </w:r>
            <w:r w:rsidRPr="00D24894">
              <w:rPr>
                <w:rFonts w:ascii="Century Gothic" w:hAnsi="Century Gothic"/>
                <w:b/>
                <w:bCs/>
                <w:color w:val="00B0F0"/>
                <w:sz w:val="52"/>
                <w:szCs w:val="52"/>
                <w14:ligatures w14:val="none"/>
              </w:rPr>
              <w:t>Value</w:t>
            </w:r>
            <w:r w:rsidRPr="00D24894">
              <w:rPr>
                <w:rFonts w:ascii="Century Gothic" w:hAnsi="Century Gothic"/>
                <w:color w:val="00B0F0"/>
                <w:sz w:val="52"/>
                <w:szCs w:val="52"/>
                <w14:ligatures w14:val="none"/>
              </w:rPr>
              <w:t>.</w:t>
            </w:r>
          </w:p>
          <w:p w14:paraId="7D546E15" w14:textId="77777777" w:rsidR="00522DDE" w:rsidRPr="00522DDE" w:rsidRDefault="00522DDE" w:rsidP="00522DDE">
            <w:pPr>
              <w:widowControl w:val="0"/>
              <w:spacing w:after="0" w:line="201" w:lineRule="auto"/>
              <w:jc w:val="center"/>
              <w:rPr>
                <w:rFonts w:ascii="Century Gothic" w:hAnsi="Century Gothic"/>
                <w:color w:val="00B0F0"/>
                <w:sz w:val="16"/>
                <w:szCs w:val="16"/>
                <w14:ligatures w14:val="none"/>
              </w:rPr>
            </w:pPr>
          </w:p>
        </w:tc>
      </w:tr>
      <w:tr w:rsidR="00641C7D" w14:paraId="36175D34" w14:textId="77777777" w:rsidTr="008B16CD">
        <w:tc>
          <w:tcPr>
            <w:tcW w:w="5240" w:type="dxa"/>
          </w:tcPr>
          <w:p w14:paraId="207C34FF" w14:textId="77777777" w:rsidR="00641C7D" w:rsidRDefault="00641C7D" w:rsidP="00D24894">
            <w:pPr>
              <w:widowControl w:val="0"/>
              <w:spacing w:after="0" w:line="225" w:lineRule="auto"/>
              <w:jc w:val="center"/>
              <w:rPr>
                <w:rFonts w:ascii="Montserrat" w:hAnsi="Montserrat"/>
                <w:b/>
                <w:bCs/>
                <w:color w:val="F58732"/>
                <w:sz w:val="52"/>
                <w:szCs w:val="5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F80B231" wp14:editId="07410B13">
                  <wp:extent cx="762000" cy="762000"/>
                  <wp:effectExtent l="0" t="0" r="0" b="0"/>
                  <wp:docPr id="2" name="Picture 2" descr="A picture containing black, sitting, dark,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coin-7-24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120" cy="762120"/>
                          </a:xfrm>
                          <a:prstGeom prst="rect">
                            <a:avLst/>
                          </a:prstGeom>
                        </pic:spPr>
                      </pic:pic>
                    </a:graphicData>
                  </a:graphic>
                </wp:inline>
              </w:drawing>
            </w:r>
          </w:p>
          <w:p w14:paraId="5809D288" w14:textId="77777777" w:rsidR="00641C7D" w:rsidRPr="00D24894" w:rsidRDefault="00641C7D" w:rsidP="00D24894">
            <w:pPr>
              <w:widowControl w:val="0"/>
              <w:spacing w:after="0" w:line="225" w:lineRule="auto"/>
              <w:jc w:val="center"/>
              <w:rPr>
                <w:rFonts w:ascii="Century Gothic" w:hAnsi="Century Gothic"/>
                <w:b/>
                <w:bCs/>
                <w:color w:val="F58732"/>
                <w:sz w:val="52"/>
                <w:szCs w:val="52"/>
                <w14:ligatures w14:val="none"/>
              </w:rPr>
            </w:pPr>
            <w:r w:rsidRPr="00D24894">
              <w:rPr>
                <w:rFonts w:ascii="Century Gothic" w:hAnsi="Century Gothic"/>
                <w:b/>
                <w:bCs/>
                <w:color w:val="F58732"/>
                <w:sz w:val="52"/>
                <w:szCs w:val="52"/>
                <w14:ligatures w14:val="none"/>
              </w:rPr>
              <w:t>INCOME</w:t>
            </w:r>
          </w:p>
          <w:p w14:paraId="0BDE9895" w14:textId="77777777" w:rsidR="00641C7D" w:rsidRPr="00641C7D" w:rsidRDefault="00641C7D" w:rsidP="00641C7D">
            <w:pPr>
              <w:widowControl w:val="0"/>
              <w:spacing w:after="0" w:line="225" w:lineRule="auto"/>
              <w:jc w:val="center"/>
              <w:rPr>
                <w:rFonts w:ascii="Montserrat" w:hAnsi="Montserrat"/>
                <w:sz w:val="40"/>
                <w:szCs w:val="40"/>
                <w14:ligatures w14:val="none"/>
              </w:rPr>
            </w:pPr>
            <w:r w:rsidRPr="00D24894">
              <w:rPr>
                <w:rFonts w:ascii="Century Gothic" w:hAnsi="Century Gothic"/>
                <w:sz w:val="56"/>
                <w:szCs w:val="56"/>
                <w14:ligatures w14:val="none"/>
              </w:rPr>
              <w:t>$</w:t>
            </w:r>
            <w:r w:rsidR="00DA4987">
              <w:rPr>
                <w:rFonts w:ascii="Century Gothic" w:hAnsi="Century Gothic"/>
                <w:sz w:val="56"/>
                <w:szCs w:val="56"/>
                <w14:ligatures w14:val="none"/>
              </w:rPr>
              <w:t>176,556</w:t>
            </w:r>
          </w:p>
        </w:tc>
        <w:tc>
          <w:tcPr>
            <w:tcW w:w="5216" w:type="dxa"/>
          </w:tcPr>
          <w:p w14:paraId="75903231" w14:textId="77777777" w:rsidR="00641C7D" w:rsidRDefault="00641C7D" w:rsidP="00D24894">
            <w:pPr>
              <w:widowControl w:val="0"/>
              <w:spacing w:after="0" w:line="225" w:lineRule="auto"/>
              <w:jc w:val="center"/>
              <w:rPr>
                <w:rFonts w:ascii="Century Gothic" w:hAnsi="Century Gothic"/>
                <w:b/>
                <w:bCs/>
                <w:color w:val="F58732"/>
                <w:sz w:val="52"/>
                <w:szCs w:val="52"/>
                <w14:ligatures w14:val="none"/>
              </w:rPr>
            </w:pPr>
            <w:r>
              <w:rPr>
                <w:rFonts w:ascii="Century Gothic" w:hAnsi="Century Gothic"/>
                <w:b/>
                <w:bCs/>
                <w:noProof/>
                <w:color w:val="F58732"/>
                <w:sz w:val="52"/>
                <w:szCs w:val="52"/>
                <w14:ligatures w14:val="none"/>
                <w14:cntxtAlts w14:val="0"/>
              </w:rPr>
              <w:drawing>
                <wp:inline distT="0" distB="0" distL="0" distR="0" wp14:anchorId="65528262" wp14:editId="2960E96E">
                  <wp:extent cx="732389" cy="763200"/>
                  <wp:effectExtent l="0" t="0" r="0" b="0"/>
                  <wp:docPr id="3" name="Picture 3" descr="A picture containing plat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a.png"/>
                          <pic:cNvPicPr/>
                        </pic:nvPicPr>
                        <pic:blipFill rotWithShape="1">
                          <a:blip r:embed="rId12">
                            <a:extLst>
                              <a:ext uri="{28A0092B-C50C-407E-A947-70E740481C1C}">
                                <a14:useLocalDpi xmlns:a14="http://schemas.microsoft.com/office/drawing/2010/main" val="0"/>
                              </a:ext>
                            </a:extLst>
                          </a:blip>
                          <a:srcRect t="-4996"/>
                          <a:stretch/>
                        </pic:blipFill>
                        <pic:spPr bwMode="auto">
                          <a:xfrm>
                            <a:off x="0" y="0"/>
                            <a:ext cx="732389" cy="763200"/>
                          </a:xfrm>
                          <a:prstGeom prst="rect">
                            <a:avLst/>
                          </a:prstGeom>
                          <a:ln>
                            <a:noFill/>
                          </a:ln>
                          <a:extLst>
                            <a:ext uri="{53640926-AAD7-44D8-BBD7-CCE9431645EC}">
                              <a14:shadowObscured xmlns:a14="http://schemas.microsoft.com/office/drawing/2010/main"/>
                            </a:ext>
                          </a:extLst>
                        </pic:spPr>
                      </pic:pic>
                    </a:graphicData>
                  </a:graphic>
                </wp:inline>
              </w:drawing>
            </w:r>
          </w:p>
          <w:p w14:paraId="37E26621" w14:textId="77777777" w:rsidR="00641C7D" w:rsidRPr="00D24894" w:rsidRDefault="00641C7D" w:rsidP="00D24894">
            <w:pPr>
              <w:widowControl w:val="0"/>
              <w:spacing w:after="0" w:line="225" w:lineRule="auto"/>
              <w:jc w:val="center"/>
              <w:rPr>
                <w:rFonts w:ascii="Century Gothic" w:hAnsi="Century Gothic"/>
                <w:b/>
                <w:bCs/>
                <w:color w:val="F58732"/>
                <w:sz w:val="52"/>
                <w:szCs w:val="52"/>
                <w14:ligatures w14:val="none"/>
              </w:rPr>
            </w:pPr>
            <w:r w:rsidRPr="00D24894">
              <w:rPr>
                <w:rFonts w:ascii="Century Gothic" w:hAnsi="Century Gothic"/>
                <w:b/>
                <w:bCs/>
                <w:color w:val="F58732"/>
                <w:sz w:val="52"/>
                <w:szCs w:val="52"/>
                <w14:ligatures w14:val="none"/>
              </w:rPr>
              <w:t>VALUE</w:t>
            </w:r>
          </w:p>
          <w:p w14:paraId="0374E239" w14:textId="77777777" w:rsidR="00641C7D" w:rsidRPr="00522DDE" w:rsidRDefault="00641C7D" w:rsidP="00522DDE">
            <w:pPr>
              <w:widowControl w:val="0"/>
              <w:spacing w:after="0" w:line="225" w:lineRule="auto"/>
              <w:jc w:val="center"/>
              <w:rPr>
                <w:rFonts w:ascii="Century Gothic" w:hAnsi="Century Gothic"/>
                <w:sz w:val="56"/>
                <w:szCs w:val="56"/>
                <w14:ligatures w14:val="none"/>
              </w:rPr>
            </w:pPr>
            <w:r w:rsidRPr="00D24894">
              <w:rPr>
                <w:rFonts w:ascii="Century Gothic" w:hAnsi="Century Gothic"/>
                <w:sz w:val="56"/>
                <w:szCs w:val="56"/>
                <w14:ligatures w14:val="none"/>
              </w:rPr>
              <w:t>$</w:t>
            </w:r>
            <w:r w:rsidR="00DA4987">
              <w:rPr>
                <w:rFonts w:ascii="Century Gothic" w:hAnsi="Century Gothic"/>
                <w:sz w:val="56"/>
                <w:szCs w:val="56"/>
                <w14:ligatures w14:val="none"/>
              </w:rPr>
              <w:t>748,972</w:t>
            </w:r>
          </w:p>
        </w:tc>
      </w:tr>
      <w:tr w:rsidR="00522DDE" w14:paraId="1C1EE0CA" w14:textId="77777777" w:rsidTr="00E36492">
        <w:tc>
          <w:tcPr>
            <w:tcW w:w="5240" w:type="dxa"/>
          </w:tcPr>
          <w:p w14:paraId="395F6C15" w14:textId="77777777" w:rsidR="00641C7D" w:rsidRDefault="00641C7D" w:rsidP="008B16CD">
            <w:pPr>
              <w:pStyle w:val="Default"/>
              <w:jc w:val="center"/>
              <w:rPr>
                <w:rFonts w:ascii="Century Gothic" w:hAnsi="Century Gothic"/>
                <w:b/>
                <w:bCs/>
                <w:color w:val="0070C0"/>
                <w14:ligatures w14:val="none"/>
              </w:rPr>
            </w:pPr>
          </w:p>
          <w:p w14:paraId="1CC23374" w14:textId="77777777" w:rsidR="00522DDE" w:rsidRPr="00641C7D" w:rsidRDefault="00522DDE" w:rsidP="006D5A97">
            <w:pPr>
              <w:spacing w:line="257" w:lineRule="auto"/>
              <w:ind w:left="357" w:hanging="357"/>
              <w:jc w:val="center"/>
              <w:rPr>
                <w:rFonts w:ascii="Century Gothic" w:hAnsi="Century Gothic"/>
                <w:b/>
                <w:bCs/>
                <w:color w:val="0070C0"/>
                <w:sz w:val="24"/>
                <w:szCs w:val="24"/>
                <w14:ligatures w14:val="none"/>
              </w:rPr>
            </w:pPr>
            <w:bookmarkStart w:id="2" w:name="ERTITLE"/>
            <w:r w:rsidRPr="00641C7D">
              <w:rPr>
                <w:rFonts w:ascii="Century Gothic" w:hAnsi="Century Gothic"/>
                <w:b/>
                <w:bCs/>
                <w:color w:val="0070C0"/>
                <w:sz w:val="24"/>
                <w:szCs w:val="24"/>
                <w14:ligatures w14:val="none"/>
              </w:rPr>
              <w:t>Emergency relief includes:</w:t>
            </w:r>
          </w:p>
          <w:bookmarkEnd w:id="2"/>
          <w:p w14:paraId="613CAA1A" w14:textId="77777777" w:rsidR="007E1434" w:rsidRPr="00880457" w:rsidRDefault="00DA4987" w:rsidP="00880457">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Food and groceries: </w:t>
            </w:r>
            <w:r w:rsidR="007E1434" w:rsidRPr="00880457">
              <w:rPr>
                <w:rFonts w:ascii="Century Gothic" w:hAnsi="Century Gothic"/>
                <w:sz w:val="22"/>
                <w:szCs w:val="22"/>
                <w14:ligatures w14:val="none"/>
              </w:rPr>
              <w:t xml:space="preserve"> </w:t>
            </w:r>
            <w:r>
              <w:rPr>
                <w:rFonts w:ascii="Century Gothic" w:hAnsi="Century Gothic"/>
                <w:b/>
                <w:bCs/>
                <w:sz w:val="22"/>
                <w:szCs w:val="22"/>
                <w14:ligatures w14:val="none"/>
              </w:rPr>
              <w:t>$66,165</w:t>
            </w:r>
          </w:p>
          <w:p w14:paraId="6F5693CA" w14:textId="77777777" w:rsidR="007E1434" w:rsidRPr="000F66D5" w:rsidRDefault="00DA4987" w:rsidP="000F66D5">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Food vouchers: </w:t>
            </w:r>
            <w:r w:rsidR="007E1434" w:rsidRPr="000F66D5">
              <w:rPr>
                <w:rFonts w:ascii="Century Gothic" w:hAnsi="Century Gothic"/>
                <w:sz w:val="22"/>
                <w:szCs w:val="22"/>
                <w14:ligatures w14:val="none"/>
              </w:rPr>
              <w:t xml:space="preserve"> </w:t>
            </w:r>
            <w:r>
              <w:rPr>
                <w:rFonts w:ascii="Century Gothic" w:hAnsi="Century Gothic"/>
                <w:b/>
                <w:bCs/>
                <w:sz w:val="22"/>
                <w:szCs w:val="22"/>
                <w14:ligatures w14:val="none"/>
              </w:rPr>
              <w:t>$3,600</w:t>
            </w:r>
          </w:p>
          <w:p w14:paraId="67709F3F" w14:textId="77777777" w:rsidR="007E1434" w:rsidRPr="00A97C81" w:rsidRDefault="00DA4987" w:rsidP="00A97C81">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Fuel Vouchers: </w:t>
            </w:r>
            <w:r w:rsidR="007E1434" w:rsidRPr="00A97C81">
              <w:rPr>
                <w:rFonts w:ascii="Century Gothic" w:hAnsi="Century Gothic"/>
                <w:sz w:val="22"/>
                <w:szCs w:val="22"/>
                <w14:ligatures w14:val="none"/>
              </w:rPr>
              <w:t xml:space="preserve"> </w:t>
            </w:r>
            <w:r>
              <w:rPr>
                <w:rFonts w:ascii="Century Gothic" w:hAnsi="Century Gothic"/>
                <w:b/>
                <w:bCs/>
                <w:sz w:val="22"/>
                <w:szCs w:val="22"/>
                <w14:ligatures w14:val="none"/>
              </w:rPr>
              <w:t>$1,200</w:t>
            </w:r>
          </w:p>
          <w:p w14:paraId="669A1F42" w14:textId="77777777" w:rsidR="008B16CD" w:rsidRDefault="00522DDE" w:rsidP="005D22D2">
            <w:pPr>
              <w:spacing w:before="120" w:line="257" w:lineRule="auto"/>
              <w:ind w:left="357" w:hanging="357"/>
              <w:jc w:val="center"/>
              <w:rPr>
                <w:rFonts w:ascii="Century Gothic" w:hAnsi="Century Gothic"/>
                <w:b/>
                <w:bCs/>
                <w:color w:val="0070C0"/>
                <w:sz w:val="24"/>
                <w:szCs w:val="24"/>
                <w14:ligatures w14:val="none"/>
              </w:rPr>
            </w:pPr>
            <w:r w:rsidRPr="00641C7D">
              <w:rPr>
                <w:rFonts w:ascii="Century Gothic" w:hAnsi="Century Gothic"/>
                <w:b/>
                <w:bCs/>
                <w:color w:val="0070C0"/>
                <w:sz w:val="24"/>
                <w:szCs w:val="24"/>
                <w14:ligatures w14:val="none"/>
              </w:rPr>
              <w:t>Services include:</w:t>
            </w:r>
          </w:p>
          <w:p w14:paraId="41AE0BFB" w14:textId="77777777" w:rsidR="00522DDE" w:rsidRPr="00A20894" w:rsidRDefault="00DA4987" w:rsidP="00A20894">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Computer/internet usage: </w:t>
            </w:r>
            <w:r w:rsidR="007E1434" w:rsidRPr="00A20894">
              <w:rPr>
                <w:rFonts w:ascii="Century Gothic" w:hAnsi="Century Gothic"/>
                <w:sz w:val="22"/>
                <w:szCs w:val="22"/>
                <w14:ligatures w14:val="none"/>
              </w:rPr>
              <w:t xml:space="preserve"> </w:t>
            </w:r>
            <w:r>
              <w:rPr>
                <w:rFonts w:ascii="Century Gothic" w:hAnsi="Century Gothic"/>
                <w:b/>
                <w:bCs/>
                <w:sz w:val="22"/>
                <w:szCs w:val="22"/>
                <w14:ligatures w14:val="none"/>
              </w:rPr>
              <w:t>$720</w:t>
            </w:r>
          </w:p>
          <w:p w14:paraId="4D0E7054" w14:textId="77777777" w:rsidR="007E1434" w:rsidRPr="00A20894" w:rsidRDefault="00DA4987" w:rsidP="00A20894">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Room hire: </w:t>
            </w:r>
            <w:r w:rsidR="007E1434" w:rsidRPr="00A20894">
              <w:rPr>
                <w:rFonts w:ascii="Century Gothic" w:hAnsi="Century Gothic"/>
                <w:sz w:val="22"/>
                <w:szCs w:val="22"/>
                <w14:ligatures w14:val="none"/>
              </w:rPr>
              <w:t xml:space="preserve"> </w:t>
            </w:r>
            <w:r>
              <w:rPr>
                <w:rFonts w:ascii="Century Gothic" w:hAnsi="Century Gothic"/>
                <w:b/>
                <w:bCs/>
                <w:sz w:val="22"/>
                <w:szCs w:val="22"/>
                <w14:ligatures w14:val="none"/>
              </w:rPr>
              <w:t>$33,840</w:t>
            </w:r>
          </w:p>
          <w:p w14:paraId="3DF81FAE" w14:textId="77777777" w:rsidR="00522DDE" w:rsidRPr="00A20894" w:rsidRDefault="00DA4987" w:rsidP="00A20894">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Résumé assistance: </w:t>
            </w:r>
            <w:r w:rsidR="007E1434" w:rsidRPr="00A20894">
              <w:rPr>
                <w:rFonts w:ascii="Century Gothic" w:hAnsi="Century Gothic"/>
                <w:sz w:val="22"/>
                <w:szCs w:val="22"/>
                <w14:ligatures w14:val="none"/>
              </w:rPr>
              <w:t xml:space="preserve"> </w:t>
            </w:r>
            <w:r>
              <w:rPr>
                <w:rFonts w:ascii="Century Gothic" w:hAnsi="Century Gothic"/>
                <w:b/>
                <w:bCs/>
                <w:sz w:val="22"/>
                <w:szCs w:val="22"/>
                <w14:ligatures w14:val="none"/>
              </w:rPr>
              <w:t>$1,440</w:t>
            </w:r>
          </w:p>
          <w:p w14:paraId="72E435E4" w14:textId="77777777" w:rsidR="00522DDE" w:rsidRPr="00A20894" w:rsidRDefault="00DA4987" w:rsidP="00A20894">
            <w:pPr>
              <w:spacing w:after="20" w:line="256" w:lineRule="auto"/>
              <w:ind w:left="360"/>
              <w:jc w:val="center"/>
              <w:rPr>
                <w:rFonts w:ascii="Century Gothic" w:hAnsi="Century Gothic"/>
                <w:sz w:val="22"/>
                <w:szCs w:val="22"/>
                <w14:ligatures w14:val="none"/>
              </w:rPr>
            </w:pPr>
            <w:r>
              <w:rPr>
                <w:rFonts w:ascii="Century Gothic" w:hAnsi="Century Gothic"/>
                <w:sz w:val="22"/>
                <w:szCs w:val="22"/>
                <w14:ligatures w14:val="none"/>
              </w:rPr>
              <w:t xml:space="preserve">•  Auspicing other organisations: </w:t>
            </w:r>
            <w:r w:rsidR="007E1434" w:rsidRPr="00A20894">
              <w:rPr>
                <w:rFonts w:ascii="Century Gothic" w:hAnsi="Century Gothic"/>
                <w:sz w:val="22"/>
                <w:szCs w:val="22"/>
                <w14:ligatures w14:val="none"/>
              </w:rPr>
              <w:t xml:space="preserve"> </w:t>
            </w:r>
            <w:r>
              <w:rPr>
                <w:rFonts w:ascii="Century Gothic" w:hAnsi="Century Gothic"/>
                <w:b/>
                <w:bCs/>
                <w:sz w:val="22"/>
                <w:szCs w:val="22"/>
                <w14:ligatures w14:val="none"/>
              </w:rPr>
              <w:t>$1,911</w:t>
            </w:r>
          </w:p>
          <w:p w14:paraId="37F46A4F" w14:textId="77777777" w:rsidR="00522DDE" w:rsidRDefault="00DA4987" w:rsidP="00A20894">
            <w:pPr>
              <w:spacing w:after="20" w:line="256" w:lineRule="auto"/>
              <w:ind w:left="360"/>
              <w:jc w:val="center"/>
              <w:rPr>
                <w:rFonts w:ascii="Century Gothic" w:hAnsi="Century Gothic"/>
                <w:b/>
                <w:bCs/>
                <w:sz w:val="22"/>
                <w:szCs w:val="22"/>
                <w14:ligatures w14:val="none"/>
              </w:rPr>
            </w:pPr>
            <w:r>
              <w:rPr>
                <w:rFonts w:ascii="Century Gothic" w:hAnsi="Century Gothic"/>
                <w:sz w:val="22"/>
                <w:szCs w:val="22"/>
                <w14:ligatures w14:val="none"/>
              </w:rPr>
              <w:t xml:space="preserve">•  Community lunch, frozen or other meals: </w:t>
            </w:r>
            <w:r w:rsidR="00522DDE" w:rsidRPr="00A20894">
              <w:rPr>
                <w:rFonts w:ascii="Century Gothic" w:hAnsi="Century Gothic"/>
                <w:sz w:val="22"/>
                <w:szCs w:val="22"/>
                <w14:ligatures w14:val="none"/>
              </w:rPr>
              <w:t xml:space="preserve"> </w:t>
            </w:r>
            <w:r w:rsidR="007E1434" w:rsidRPr="00A20894">
              <w:rPr>
                <w:rFonts w:ascii="Century Gothic" w:hAnsi="Century Gothic"/>
                <w:sz w:val="22"/>
                <w:szCs w:val="22"/>
                <w14:ligatures w14:val="none"/>
              </w:rPr>
              <w:t xml:space="preserve"> </w:t>
            </w:r>
            <w:r>
              <w:rPr>
                <w:rFonts w:ascii="Century Gothic" w:hAnsi="Century Gothic"/>
                <w:b/>
                <w:bCs/>
                <w:sz w:val="22"/>
                <w:szCs w:val="22"/>
                <w14:ligatures w14:val="none"/>
              </w:rPr>
              <w:t>$10,800</w:t>
            </w:r>
          </w:p>
          <w:p w14:paraId="369F238E" w14:textId="77777777" w:rsidR="009F72DF" w:rsidRPr="009F72DF" w:rsidRDefault="009F72DF" w:rsidP="00A20894">
            <w:pPr>
              <w:spacing w:after="20" w:line="256" w:lineRule="auto"/>
              <w:ind w:left="360"/>
              <w:jc w:val="center"/>
              <w:rPr>
                <w:rFonts w:ascii="Century Gothic" w:hAnsi="Century Gothic"/>
                <w:b/>
                <w:bCs/>
                <w:sz w:val="22"/>
                <w:szCs w:val="22"/>
                <w14:ligatures w14:val="none"/>
              </w:rPr>
            </w:pPr>
          </w:p>
        </w:tc>
        <w:tc>
          <w:tcPr>
            <w:tcW w:w="5216" w:type="dxa"/>
            <w:shd w:val="clear" w:color="auto" w:fill="DFEBF7"/>
          </w:tcPr>
          <w:p w14:paraId="1223C3AC" w14:textId="77777777" w:rsidR="00641C7D" w:rsidRPr="008B16CD" w:rsidRDefault="00641C7D" w:rsidP="00522DDE">
            <w:pPr>
              <w:pStyle w:val="Default"/>
              <w:jc w:val="center"/>
              <w:rPr>
                <w:rFonts w:ascii="Century Gothic" w:hAnsi="Century Gothic"/>
                <w:b/>
                <w:bCs/>
                <w:color w:val="0070C0"/>
                <w14:ligatures w14:val="none"/>
              </w:rPr>
            </w:pPr>
          </w:p>
          <w:p w14:paraId="01166319" w14:textId="77777777" w:rsidR="00522DDE" w:rsidRPr="00641C7D" w:rsidRDefault="00522DDE" w:rsidP="00522DDE">
            <w:pPr>
              <w:pStyle w:val="Default"/>
              <w:jc w:val="center"/>
              <w:rPr>
                <w:rFonts w:ascii="Century Gothic" w:hAnsi="Century Gothic"/>
                <w:b/>
                <w:bCs/>
                <w:color w:val="0070C0"/>
                <w:sz w:val="32"/>
                <w:szCs w:val="32"/>
                <w14:ligatures w14:val="none"/>
              </w:rPr>
            </w:pPr>
            <w:r w:rsidRPr="00641C7D">
              <w:rPr>
                <w:rFonts w:ascii="Century Gothic" w:hAnsi="Century Gothic"/>
                <w:b/>
                <w:bCs/>
                <w:color w:val="0070C0"/>
                <w:sz w:val="32"/>
                <w:szCs w:val="32"/>
                <w14:ligatures w14:val="none"/>
              </w:rPr>
              <w:t xml:space="preserve">This figure includes </w:t>
            </w:r>
            <w:r w:rsidRPr="00641C7D">
              <w:rPr>
                <w:rFonts w:ascii="Century Gothic" w:hAnsi="Century Gothic"/>
                <w:b/>
                <w:bCs/>
                <w:color w:val="0070C0"/>
                <w:sz w:val="32"/>
                <w:szCs w:val="32"/>
                <w14:ligatures w14:val="none"/>
              </w:rPr>
              <w:br/>
              <w:t>the value of:</w:t>
            </w:r>
          </w:p>
          <w:p w14:paraId="52E45FBE" w14:textId="77777777" w:rsidR="00522DDE" w:rsidRPr="00641C7D" w:rsidRDefault="00522DDE" w:rsidP="00522DDE">
            <w:pPr>
              <w:pStyle w:val="Default"/>
              <w:jc w:val="center"/>
              <w:rPr>
                <w:rFonts w:ascii="Century Gothic" w:hAnsi="Century Gothic"/>
                <w:sz w:val="22"/>
                <w:szCs w:val="22"/>
                <w14:ligatures w14:val="none"/>
              </w:rPr>
            </w:pPr>
            <w:r w:rsidRPr="00641C7D">
              <w:rPr>
                <w:rFonts w:ascii="Century Gothic" w:hAnsi="Century Gothic" w:cs="Cambria"/>
                <w:sz w:val="22"/>
                <w:szCs w:val="22"/>
                <w14:ligatures w14:val="none"/>
              </w:rPr>
              <w:t> </w:t>
            </w:r>
          </w:p>
          <w:p w14:paraId="1E39D591" w14:textId="77777777" w:rsidR="00522DDE" w:rsidRPr="00641C7D" w:rsidRDefault="00522DDE" w:rsidP="004A37A0">
            <w:pPr>
              <w:pStyle w:val="Default"/>
              <w:spacing w:after="280"/>
              <w:jc w:val="center"/>
              <w:rPr>
                <w:rFonts w:ascii="Century Gothic" w:hAnsi="Century Gothic"/>
                <w:b/>
                <w:bCs/>
                <w:sz w:val="22"/>
                <w:szCs w:val="22"/>
                <w14:ligatures w14:val="none"/>
              </w:rPr>
            </w:pPr>
            <w:r w:rsidRPr="00641C7D">
              <w:rPr>
                <w:rFonts w:ascii="Century Gothic" w:hAnsi="Century Gothic"/>
                <w:sz w:val="22"/>
                <w:szCs w:val="22"/>
                <w14:ligatures w14:val="none"/>
              </w:rPr>
              <w:t xml:space="preserve">Improved quality of life through social connection: </w:t>
            </w:r>
            <w:r w:rsidRPr="00641C7D">
              <w:rPr>
                <w:rFonts w:ascii="Century Gothic" w:hAnsi="Century Gothic"/>
                <w:b/>
                <w:bCs/>
                <w:sz w:val="22"/>
                <w:szCs w:val="22"/>
                <w14:ligatures w14:val="none"/>
              </w:rPr>
              <w:t>$</w:t>
            </w:r>
            <w:r w:rsidR="00DA4987">
              <w:rPr>
                <w:rFonts w:ascii="Century Gothic" w:hAnsi="Century Gothic"/>
                <w:b/>
                <w:bCs/>
                <w:sz w:val="22"/>
                <w:szCs w:val="22"/>
                <w14:ligatures w14:val="none"/>
              </w:rPr>
              <w:t>43,045</w:t>
            </w:r>
          </w:p>
          <w:p w14:paraId="2BC2DCF1" w14:textId="77777777" w:rsidR="00522DDE" w:rsidRPr="00641C7D" w:rsidRDefault="00522DDE" w:rsidP="004A37A0">
            <w:pPr>
              <w:pStyle w:val="Default"/>
              <w:spacing w:after="280"/>
              <w:jc w:val="center"/>
              <w:rPr>
                <w:rFonts w:ascii="Century Gothic" w:hAnsi="Century Gothic"/>
                <w:b/>
                <w:bCs/>
                <w:sz w:val="22"/>
                <w:szCs w:val="22"/>
                <w14:ligatures w14:val="none"/>
              </w:rPr>
            </w:pPr>
            <w:r w:rsidRPr="00641C7D">
              <w:rPr>
                <w:rFonts w:ascii="Century Gothic" w:hAnsi="Century Gothic" w:cs="Cambria"/>
                <w:sz w:val="22"/>
                <w:szCs w:val="22"/>
                <w14:ligatures w14:val="none"/>
              </w:rPr>
              <w:t> </w:t>
            </w:r>
            <w:r w:rsidRPr="00641C7D">
              <w:rPr>
                <w:rFonts w:ascii="Century Gothic" w:hAnsi="Century Gothic"/>
                <w:sz w:val="22"/>
                <w:szCs w:val="22"/>
                <w14:ligatures w14:val="none"/>
              </w:rPr>
              <w:t xml:space="preserve">Volunteer contributions: </w:t>
            </w:r>
            <w:r w:rsidRPr="00641C7D">
              <w:rPr>
                <w:rFonts w:ascii="Century Gothic" w:hAnsi="Century Gothic"/>
                <w:b/>
                <w:bCs/>
                <w:sz w:val="22"/>
                <w:szCs w:val="22"/>
                <w14:ligatures w14:val="none"/>
              </w:rPr>
              <w:t>$</w:t>
            </w:r>
            <w:r w:rsidR="00DA4987">
              <w:rPr>
                <w:rFonts w:ascii="Century Gothic" w:hAnsi="Century Gothic"/>
                <w:b/>
                <w:bCs/>
                <w:sz w:val="22"/>
                <w:szCs w:val="22"/>
                <w14:ligatures w14:val="none"/>
              </w:rPr>
              <w:t>270,321</w:t>
            </w:r>
          </w:p>
          <w:p w14:paraId="6DA2C50B" w14:textId="77777777" w:rsidR="00522DDE" w:rsidRPr="00641C7D" w:rsidRDefault="00DA4987" w:rsidP="004A37A0">
            <w:pPr>
              <w:pStyle w:val="Default"/>
              <w:spacing w:after="280"/>
              <w:jc w:val="center"/>
              <w:rPr>
                <w:rFonts w:ascii="Century Gothic" w:hAnsi="Century Gothic"/>
                <w:sz w:val="22"/>
                <w:szCs w:val="22"/>
                <w14:ligatures w14:val="none"/>
              </w:rPr>
            </w:pPr>
            <w:r>
              <w:rPr>
                <w:rFonts w:ascii="Century Gothic" w:hAnsi="Century Gothic"/>
                <w:sz w:val="22"/>
                <w:szCs w:val="22"/>
                <w14:ligatures w14:val="none"/>
              </w:rPr>
              <w:t xml:space="preserve">Emergency relief provided: </w:t>
            </w:r>
            <w:r w:rsidR="00522DDE" w:rsidRPr="00641C7D">
              <w:rPr>
                <w:rFonts w:ascii="Century Gothic" w:hAnsi="Century Gothic"/>
                <w:sz w:val="22"/>
                <w:szCs w:val="22"/>
                <w14:ligatures w14:val="none"/>
              </w:rPr>
              <w:t xml:space="preserve"> </w:t>
            </w:r>
            <w:r w:rsidR="00522DDE" w:rsidRPr="00641C7D">
              <w:rPr>
                <w:rFonts w:ascii="Century Gothic" w:hAnsi="Century Gothic"/>
                <w:b/>
                <w:bCs/>
                <w:sz w:val="22"/>
                <w:szCs w:val="22"/>
                <w14:ligatures w14:val="none"/>
              </w:rPr>
              <w:t>$</w:t>
            </w:r>
            <w:r>
              <w:rPr>
                <w:rFonts w:ascii="Century Gothic" w:hAnsi="Century Gothic"/>
                <w:b/>
                <w:bCs/>
                <w:sz w:val="22"/>
                <w:szCs w:val="22"/>
                <w14:ligatures w14:val="none"/>
              </w:rPr>
              <w:t>70,965</w:t>
            </w:r>
          </w:p>
          <w:p w14:paraId="186E1961" w14:textId="77777777" w:rsidR="00522DDE" w:rsidRPr="00641C7D" w:rsidRDefault="00DA4987" w:rsidP="004A37A0">
            <w:pPr>
              <w:pStyle w:val="Default"/>
              <w:spacing w:after="280" w:line="257" w:lineRule="auto"/>
              <w:jc w:val="center"/>
              <w:rPr>
                <w:rFonts w:ascii="Century Gothic" w:hAnsi="Century Gothic"/>
                <w:sz w:val="22"/>
                <w:szCs w:val="22"/>
                <w14:ligatures w14:val="none"/>
              </w:rPr>
            </w:pPr>
            <w:r>
              <w:rPr>
                <w:rFonts w:ascii="Century Gothic" w:hAnsi="Century Gothic"/>
                <w:sz w:val="22"/>
                <w:szCs w:val="22"/>
                <w14:ligatures w14:val="none"/>
              </w:rPr>
              <w:t xml:space="preserve">Services provided: </w:t>
            </w:r>
            <w:r>
              <w:rPr>
                <w:rFonts w:ascii="Century Gothic" w:hAnsi="Century Gothic"/>
                <w:b/>
                <w:bCs/>
                <w:sz w:val="22"/>
                <w:szCs w:val="22"/>
                <w14:ligatures w14:val="none"/>
              </w:rPr>
              <w:t>$46,800</w:t>
            </w:r>
          </w:p>
          <w:p w14:paraId="52D064BF" w14:textId="77777777" w:rsidR="00522DDE" w:rsidRPr="00641C7D" w:rsidRDefault="00522DDE" w:rsidP="004A37A0">
            <w:pPr>
              <w:pStyle w:val="Default"/>
              <w:spacing w:after="280" w:line="257" w:lineRule="auto"/>
              <w:jc w:val="center"/>
              <w:rPr>
                <w:rFonts w:ascii="Century Gothic" w:hAnsi="Century Gothic"/>
                <w:sz w:val="22"/>
                <w:szCs w:val="22"/>
                <w14:ligatures w14:val="none"/>
              </w:rPr>
            </w:pPr>
            <w:r w:rsidRPr="00641C7D">
              <w:rPr>
                <w:rFonts w:ascii="Century Gothic" w:hAnsi="Century Gothic" w:cs="Cambria"/>
                <w:sz w:val="22"/>
                <w:szCs w:val="22"/>
                <w14:ligatures w14:val="none"/>
              </w:rPr>
              <w:t> </w:t>
            </w:r>
            <w:r w:rsidR="00DA4987">
              <w:rPr>
                <w:rFonts w:ascii="Century Gothic" w:hAnsi="Century Gothic"/>
                <w:sz w:val="22"/>
                <w:szCs w:val="22"/>
                <w14:ligatures w14:val="none"/>
              </w:rPr>
              <w:t xml:space="preserve">Adult Community Education: </w:t>
            </w:r>
            <w:r w:rsidR="00DA4987">
              <w:rPr>
                <w:rFonts w:ascii="Century Gothic" w:hAnsi="Century Gothic"/>
                <w:b/>
                <w:bCs/>
                <w:sz w:val="22"/>
                <w:szCs w:val="22"/>
                <w14:ligatures w14:val="none"/>
              </w:rPr>
              <w:t>$315,929</w:t>
            </w:r>
          </w:p>
          <w:p w14:paraId="1FB5CA4E" w14:textId="77777777" w:rsidR="005E67FD" w:rsidRPr="005E67FD" w:rsidRDefault="005E67FD" w:rsidP="004A37A0">
            <w:pPr>
              <w:pStyle w:val="Default"/>
              <w:spacing w:after="280" w:line="257" w:lineRule="auto"/>
              <w:jc w:val="center"/>
              <w:rPr>
                <w:rFonts w:ascii="Century Gothic" w:hAnsi="Century Gothic"/>
                <w:b/>
                <w:bCs/>
                <w:sz w:val="22"/>
                <w:szCs w:val="22"/>
                <w14:ligatures w14:val="none"/>
              </w:rPr>
            </w:pPr>
          </w:p>
        </w:tc>
      </w:tr>
      <w:tr w:rsidR="00522DDE" w14:paraId="55D8BA96" w14:textId="77777777" w:rsidTr="008B16CD">
        <w:tc>
          <w:tcPr>
            <w:tcW w:w="5240" w:type="dxa"/>
          </w:tcPr>
          <w:p w14:paraId="67A25FAD" w14:textId="77777777" w:rsidR="008B16CD" w:rsidRPr="008B16CD" w:rsidRDefault="008B16CD" w:rsidP="00522DDE">
            <w:pPr>
              <w:pStyle w:val="Default"/>
              <w:jc w:val="center"/>
              <w:rPr>
                <w:rFonts w:ascii="Century Gothic" w:hAnsi="Century Gothic"/>
                <w:b/>
                <w:bCs/>
                <w:color w:val="0070C0"/>
                <w:sz w:val="12"/>
                <w:szCs w:val="12"/>
                <w14:ligatures w14:val="none"/>
              </w:rPr>
            </w:pPr>
          </w:p>
          <w:p w14:paraId="5B3D55D3" w14:textId="77777777" w:rsidR="00522DDE" w:rsidRPr="00641C7D" w:rsidRDefault="00522DDE" w:rsidP="00522DDE">
            <w:pPr>
              <w:pStyle w:val="Default"/>
              <w:jc w:val="center"/>
              <w:rPr>
                <w:rFonts w:ascii="Century Gothic" w:hAnsi="Century Gothic"/>
                <w:b/>
                <w:bCs/>
                <w:color w:val="0070C0"/>
                <w:sz w:val="32"/>
                <w:szCs w:val="32"/>
                <w14:ligatures w14:val="none"/>
              </w:rPr>
            </w:pPr>
            <w:r w:rsidRPr="00641C7D">
              <w:rPr>
                <w:rFonts w:ascii="Century Gothic" w:hAnsi="Century Gothic"/>
                <w:b/>
                <w:bCs/>
                <w:color w:val="0070C0"/>
                <w:sz w:val="32"/>
                <w:szCs w:val="32"/>
                <w14:ligatures w14:val="none"/>
              </w:rPr>
              <w:t>Employment value</w:t>
            </w:r>
          </w:p>
          <w:p w14:paraId="5B1261A8" w14:textId="77777777" w:rsidR="00522DDE" w:rsidRPr="00641C7D" w:rsidRDefault="00522DDE" w:rsidP="006D5A97">
            <w:pPr>
              <w:pStyle w:val="Default"/>
              <w:spacing w:after="120" w:line="257" w:lineRule="auto"/>
              <w:jc w:val="center"/>
              <w:rPr>
                <w:rFonts w:ascii="Century Gothic" w:hAnsi="Century Gothic"/>
                <w:sz w:val="32"/>
                <w:szCs w:val="32"/>
                <w14:ligatures w14:val="none"/>
              </w:rPr>
            </w:pPr>
            <w:r w:rsidRPr="00641C7D">
              <w:rPr>
                <w:rFonts w:ascii="Century Gothic" w:hAnsi="Century Gothic" w:cs="Cambria"/>
                <w:sz w:val="22"/>
                <w:szCs w:val="22"/>
                <w14:ligatures w14:val="none"/>
              </w:rPr>
              <w:t> </w:t>
            </w:r>
            <w:r w:rsidR="00DA4987">
              <w:rPr>
                <w:rFonts w:ascii="Century Gothic" w:hAnsi="Century Gothic"/>
                <w:sz w:val="32"/>
                <w:szCs w:val="32"/>
                <w14:ligatures w14:val="none"/>
              </w:rPr>
              <w:t>2.52</w:t>
            </w:r>
            <w:r w:rsidR="009774C8">
              <w:rPr>
                <w:rFonts w:ascii="Century Gothic" w:hAnsi="Century Gothic"/>
                <w:sz w:val="32"/>
                <w:szCs w:val="32"/>
                <w14:ligatures w14:val="none"/>
              </w:rPr>
              <w:t xml:space="preserve"> </w:t>
            </w:r>
            <w:r w:rsidRPr="00641C7D">
              <w:rPr>
                <w:rFonts w:ascii="Century Gothic" w:hAnsi="Century Gothic"/>
                <w:sz w:val="32"/>
                <w:szCs w:val="32"/>
                <w14:ligatures w14:val="none"/>
              </w:rPr>
              <w:t xml:space="preserve">FTE jobs </w:t>
            </w:r>
          </w:p>
          <w:p w14:paraId="6B395A59" w14:textId="77777777" w:rsidR="008B16CD" w:rsidRDefault="00522DDE" w:rsidP="00522DDE">
            <w:pPr>
              <w:pStyle w:val="Default"/>
              <w:jc w:val="center"/>
              <w:rPr>
                <w:rFonts w:ascii="Times New Roman" w:hAnsi="Times New Roman" w:cs="Times New Roman"/>
                <w:color w:val="auto"/>
                <w:kern w:val="0"/>
                <w14:ligatures w14:val="none"/>
                <w14:cntxtAlts w14:val="0"/>
              </w:rPr>
            </w:pPr>
            <w:r w:rsidRPr="00641C7D">
              <w:rPr>
                <w:rFonts w:ascii="Century Gothic" w:hAnsi="Century Gothic"/>
                <w:sz w:val="22"/>
                <w:szCs w:val="22"/>
                <w14:ligatures w14:val="none"/>
              </w:rPr>
              <w:t xml:space="preserve">including </w:t>
            </w:r>
            <w:r w:rsidR="00DA4987">
              <w:rPr>
                <w:rFonts w:ascii="Century Gothic" w:hAnsi="Century Gothic"/>
                <w:sz w:val="22"/>
                <w:szCs w:val="22"/>
                <w14:ligatures w14:val="none"/>
              </w:rPr>
              <w:t>1.8</w:t>
            </w:r>
            <w:r w:rsidRPr="00641C7D">
              <w:rPr>
                <w:rFonts w:ascii="Century Gothic" w:hAnsi="Century Gothic"/>
                <w:sz w:val="22"/>
                <w:szCs w:val="22"/>
                <w14:ligatures w14:val="none"/>
              </w:rPr>
              <w:t xml:space="preserve"> direct and </w:t>
            </w:r>
            <w:r w:rsidR="00DA4987">
              <w:rPr>
                <w:rFonts w:ascii="Century Gothic" w:hAnsi="Century Gothic"/>
                <w:sz w:val="22"/>
                <w:szCs w:val="22"/>
                <w14:ligatures w14:val="none"/>
              </w:rPr>
              <w:t>0.7</w:t>
            </w:r>
            <w:r w:rsidRPr="00641C7D">
              <w:rPr>
                <w:rFonts w:ascii="Century Gothic" w:hAnsi="Century Gothic"/>
                <w:sz w:val="22"/>
                <w:szCs w:val="22"/>
                <w14:ligatures w14:val="none"/>
              </w:rPr>
              <w:t xml:space="preserve"> indirect </w:t>
            </w:r>
            <w:r w:rsidRPr="00641C7D">
              <w:rPr>
                <w:rFonts w:ascii="Century Gothic" w:hAnsi="Century Gothic"/>
                <w:sz w:val="22"/>
                <w:szCs w:val="22"/>
                <w14:ligatures w14:val="none"/>
              </w:rPr>
              <w:br/>
              <w:t>Full Time Equivalent positions</w:t>
            </w:r>
            <w:r w:rsidR="008B16CD">
              <w:rPr>
                <w:rFonts w:ascii="Times New Roman" w:hAnsi="Times New Roman" w:cs="Times New Roman"/>
                <w:color w:val="auto"/>
                <w:kern w:val="0"/>
                <w14:ligatures w14:val="none"/>
                <w14:cntxtAlts w14:val="0"/>
              </w:rPr>
              <w:t xml:space="preserve"> </w:t>
            </w:r>
          </w:p>
          <w:p w14:paraId="124BECE4" w14:textId="77777777" w:rsidR="008B16CD" w:rsidRDefault="00D60895" w:rsidP="00522DDE">
            <w:pPr>
              <w:pStyle w:val="Default"/>
              <w:jc w:val="center"/>
              <w:rPr>
                <w:rFonts w:ascii="Times New Roman" w:hAnsi="Times New Roman" w:cs="Times New Roman"/>
                <w:color w:val="auto"/>
                <w:kern w:val="0"/>
                <w14:ligatures w14:val="none"/>
                <w14:cntxtAlts w14:val="0"/>
              </w:rPr>
            </w:pPr>
            <w:r>
              <w:rPr>
                <w:rFonts w:ascii="Times New Roman" w:hAnsi="Times New Roman" w:cs="Times New Roman"/>
                <w:noProof/>
                <w:color w:val="auto"/>
                <w:kern w:val="0"/>
                <w14:ligatures w14:val="none"/>
                <w14:cntxtAlts w14:val="0"/>
              </w:rPr>
              <w:drawing>
                <wp:anchor distT="0" distB="0" distL="114300" distR="114300" simplePos="0" relativeHeight="251659264" behindDoc="0" locked="0" layoutInCell="1" allowOverlap="1" wp14:anchorId="05E7F629" wp14:editId="2EDB242A">
                  <wp:simplePos x="0" y="0"/>
                  <wp:positionH relativeFrom="column">
                    <wp:posOffset>-11430</wp:posOffset>
                  </wp:positionH>
                  <wp:positionV relativeFrom="paragraph">
                    <wp:posOffset>182245</wp:posOffset>
                  </wp:positionV>
                  <wp:extent cx="1311275" cy="638175"/>
                  <wp:effectExtent l="0" t="0" r="3175" b="952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png"/>
                          <pic:cNvPicPr/>
                        </pic:nvPicPr>
                        <pic:blipFill rotWithShape="1">
                          <a:blip r:embed="rId13" cstate="print">
                            <a:extLst>
                              <a:ext uri="{28A0092B-C50C-407E-A947-70E740481C1C}">
                                <a14:useLocalDpi xmlns:a14="http://schemas.microsoft.com/office/drawing/2010/main" val="0"/>
                              </a:ext>
                            </a:extLst>
                          </a:blip>
                          <a:srcRect b="15162"/>
                          <a:stretch/>
                        </pic:blipFill>
                        <pic:spPr bwMode="auto">
                          <a:xfrm>
                            <a:off x="0" y="0"/>
                            <a:ext cx="1311275" cy="638175"/>
                          </a:xfrm>
                          <a:prstGeom prst="rect">
                            <a:avLst/>
                          </a:prstGeom>
                          <a:ln>
                            <a:noFill/>
                          </a:ln>
                          <a:extLst>
                            <a:ext uri="{53640926-AAD7-44D8-BBD7-CCE9431645EC}">
                              <a14:shadowObscured xmlns:a14="http://schemas.microsoft.com/office/drawing/2010/main"/>
                            </a:ext>
                          </a:extLst>
                        </pic:spPr>
                      </pic:pic>
                    </a:graphicData>
                  </a:graphic>
                </wp:anchor>
              </w:drawing>
            </w:r>
          </w:p>
          <w:p w14:paraId="05CB9151" w14:textId="77777777" w:rsidR="008B16CD" w:rsidRDefault="008B16CD" w:rsidP="00522DDE">
            <w:pPr>
              <w:pStyle w:val="Default"/>
              <w:jc w:val="center"/>
              <w:rPr>
                <w:rFonts w:ascii="Times New Roman" w:hAnsi="Times New Roman" w:cs="Times New Roman"/>
                <w:b/>
                <w:bCs/>
                <w14:ligatures w14:val="none"/>
              </w:rPr>
            </w:pPr>
          </w:p>
          <w:p w14:paraId="6D928386" w14:textId="77777777" w:rsidR="008B16CD" w:rsidRDefault="008B16CD" w:rsidP="00522DDE">
            <w:pPr>
              <w:pStyle w:val="Default"/>
              <w:jc w:val="center"/>
              <w:rPr>
                <w:rFonts w:ascii="Times New Roman" w:hAnsi="Times New Roman" w:cs="Times New Roman"/>
                <w:b/>
                <w:bCs/>
                <w14:ligatures w14:val="none"/>
              </w:rPr>
            </w:pPr>
          </w:p>
          <w:p w14:paraId="28CCA73D" w14:textId="77777777" w:rsidR="00522DDE" w:rsidRPr="00641C7D" w:rsidRDefault="008B16CD" w:rsidP="008B16CD">
            <w:pPr>
              <w:pStyle w:val="Default"/>
              <w:rPr>
                <w:rFonts w:ascii="Century Gothic" w:hAnsi="Century Gothic"/>
                <w:b/>
                <w:bCs/>
                <w:sz w:val="23"/>
                <w:szCs w:val="23"/>
                <w14:ligatures w14:val="none"/>
              </w:rPr>
            </w:pPr>
            <w:r>
              <w:rPr>
                <w:rFonts w:ascii="Times New Roman" w:hAnsi="Times New Roman" w:cs="Times New Roman"/>
                <w:noProof/>
                <w:color w:val="auto"/>
                <w:kern w:val="0"/>
                <w14:ligatures w14:val="none"/>
                <w14:cntxtAlts w14:val="0"/>
              </w:rPr>
              <w:drawing>
                <wp:anchor distT="36576" distB="36576" distL="36576" distR="36576" simplePos="0" relativeHeight="251658240" behindDoc="0" locked="0" layoutInCell="1" allowOverlap="1" wp14:anchorId="28072B9D" wp14:editId="3620DD09">
                  <wp:simplePos x="0" y="0"/>
                  <wp:positionH relativeFrom="column">
                    <wp:posOffset>4280535</wp:posOffset>
                  </wp:positionH>
                  <wp:positionV relativeFrom="paragraph">
                    <wp:posOffset>9602470</wp:posOffset>
                  </wp:positionV>
                  <wp:extent cx="1938655" cy="891540"/>
                  <wp:effectExtent l="0" t="0" r="4445" b="3810"/>
                  <wp:wrapNone/>
                  <wp:docPr id="5" name="Picture 5" descr="NHVic - LOGO- Colour -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Vic - LOGO- Colour - no tag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8655" cy="891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3896DE" w14:textId="77777777" w:rsidR="000A2361" w:rsidRDefault="000A2361" w:rsidP="008B16CD">
            <w:pPr>
              <w:widowControl w:val="0"/>
              <w:rPr>
                <w:rFonts w:ascii="Century Gothic" w:hAnsi="Century Gothic"/>
                <w:sz w:val="14"/>
                <w:szCs w:val="14"/>
                <w14:ligatures w14:val="none"/>
              </w:rPr>
            </w:pPr>
          </w:p>
          <w:p w14:paraId="6C0095F7" w14:textId="77777777" w:rsidR="000A2361" w:rsidRPr="008B16CD" w:rsidRDefault="008B16CD" w:rsidP="00DE251A">
            <w:pPr>
              <w:widowControl w:val="0"/>
              <w:rPr>
                <w:rFonts w:ascii="Century Gothic" w:hAnsi="Century Gothic"/>
                <w:sz w:val="14"/>
                <w:szCs w:val="14"/>
                <w14:ligatures w14:val="none"/>
              </w:rPr>
            </w:pPr>
            <w:r w:rsidRPr="008B16CD">
              <w:rPr>
                <w:rFonts w:ascii="Century Gothic" w:hAnsi="Century Gothic"/>
                <w:sz w:val="14"/>
                <w:szCs w:val="14"/>
                <w14:ligatures w14:val="none"/>
              </w:rPr>
              <w:t>These calculations were conducted by Neighbourhood Houses Victoria</w:t>
            </w:r>
            <w:r w:rsidR="000A2361">
              <w:rPr>
                <w:rFonts w:ascii="Century Gothic" w:hAnsi="Century Gothic"/>
                <w:sz w:val="14"/>
                <w:szCs w:val="14"/>
                <w14:ligatures w14:val="none"/>
              </w:rPr>
              <w:t xml:space="preserve"> </w:t>
            </w:r>
            <w:r w:rsidR="00D60895">
              <w:rPr>
                <w:rFonts w:ascii="Century Gothic" w:hAnsi="Century Gothic"/>
                <w:sz w:val="14"/>
                <w:szCs w:val="14"/>
                <w14:ligatures w14:val="none"/>
              </w:rPr>
              <w:t>Based on data provided in the 2019 Neighbourhood Houses Survey. O</w:t>
            </w:r>
            <w:r w:rsidR="000A2361">
              <w:rPr>
                <w:rFonts w:ascii="Century Gothic" w:hAnsi="Century Gothic"/>
                <w:sz w:val="14"/>
                <w:szCs w:val="14"/>
                <w14:ligatures w14:val="none"/>
              </w:rPr>
              <w:t xml:space="preserve">nly activities where a </w:t>
            </w:r>
            <w:r w:rsidR="00D60895">
              <w:rPr>
                <w:rFonts w:ascii="Century Gothic" w:hAnsi="Century Gothic"/>
                <w:sz w:val="14"/>
                <w:szCs w:val="14"/>
                <w14:ligatures w14:val="none"/>
              </w:rPr>
              <w:t>determinable valuation</w:t>
            </w:r>
            <w:r w:rsidR="000A2361">
              <w:rPr>
                <w:rFonts w:ascii="Century Gothic" w:hAnsi="Century Gothic"/>
                <w:sz w:val="14"/>
                <w:szCs w:val="14"/>
                <w14:ligatures w14:val="none"/>
              </w:rPr>
              <w:t xml:space="preserve"> method exists</w:t>
            </w:r>
            <w:r w:rsidR="00D60895">
              <w:rPr>
                <w:rFonts w:ascii="Century Gothic" w:hAnsi="Century Gothic"/>
                <w:sz w:val="14"/>
                <w:szCs w:val="14"/>
                <w14:ligatures w14:val="none"/>
              </w:rPr>
              <w:t xml:space="preserve"> are included</w:t>
            </w:r>
            <w:r w:rsidRPr="008B16CD">
              <w:rPr>
                <w:rFonts w:ascii="Century Gothic" w:hAnsi="Century Gothic"/>
                <w:sz w:val="14"/>
                <w:szCs w:val="14"/>
                <w14:ligatures w14:val="none"/>
              </w:rPr>
              <w:t>.</w:t>
            </w:r>
            <w:r w:rsidR="000A2361">
              <w:rPr>
                <w:rFonts w:ascii="Century Gothic" w:hAnsi="Century Gothic"/>
                <w:sz w:val="14"/>
                <w:szCs w:val="14"/>
                <w14:ligatures w14:val="none"/>
              </w:rPr>
              <w:t xml:space="preserve">       </w:t>
            </w:r>
          </w:p>
        </w:tc>
        <w:tc>
          <w:tcPr>
            <w:tcW w:w="5216" w:type="dxa"/>
            <w:shd w:val="clear" w:color="auto" w:fill="0070C0"/>
          </w:tcPr>
          <w:p w14:paraId="6D862455" w14:textId="77777777" w:rsidR="008B16CD" w:rsidRPr="008B16CD" w:rsidRDefault="008B16CD" w:rsidP="00522DDE">
            <w:pPr>
              <w:widowControl w:val="0"/>
              <w:spacing w:line="225" w:lineRule="auto"/>
              <w:jc w:val="center"/>
              <w:rPr>
                <w:rFonts w:ascii="Century Gothic" w:hAnsi="Century Gothic"/>
                <w:b/>
                <w:bCs/>
                <w:color w:val="FFFFFF"/>
                <w:sz w:val="12"/>
                <w:szCs w:val="12"/>
                <w14:ligatures w14:val="none"/>
              </w:rPr>
            </w:pPr>
          </w:p>
          <w:p w14:paraId="4E2CB79B" w14:textId="77777777" w:rsidR="008B16CD" w:rsidRPr="008B16CD" w:rsidRDefault="00522DDE" w:rsidP="008B16CD">
            <w:pPr>
              <w:widowControl w:val="0"/>
              <w:spacing w:line="286" w:lineRule="auto"/>
              <w:jc w:val="center"/>
              <w:rPr>
                <w:rFonts w:ascii="Century Gothic" w:hAnsi="Century Gothic"/>
                <w:color w:val="FFFFFF"/>
                <w:sz w:val="24"/>
                <w:szCs w:val="24"/>
                <w14:ligatures w14:val="none"/>
              </w:rPr>
            </w:pPr>
            <w:r w:rsidRPr="00641C7D">
              <w:rPr>
                <w:rFonts w:ascii="Century Gothic" w:hAnsi="Century Gothic"/>
                <w:b/>
                <w:bCs/>
                <w:color w:val="FFFFFF"/>
                <w:sz w:val="32"/>
                <w:szCs w:val="32"/>
                <w14:ligatures w14:val="none"/>
              </w:rPr>
              <w:t xml:space="preserve">This community value </w:t>
            </w:r>
            <w:r w:rsidR="008B16CD">
              <w:rPr>
                <w:rFonts w:ascii="Century Gothic" w:hAnsi="Century Gothic"/>
                <w:b/>
                <w:bCs/>
                <w:color w:val="FFFFFF"/>
                <w:sz w:val="32"/>
                <w:szCs w:val="32"/>
                <w14:ligatures w14:val="none"/>
              </w:rPr>
              <w:br/>
            </w:r>
            <w:r w:rsidRPr="00641C7D">
              <w:rPr>
                <w:rFonts w:ascii="Century Gothic" w:hAnsi="Century Gothic"/>
                <w:b/>
                <w:bCs/>
                <w:color w:val="FFFFFF"/>
                <w:sz w:val="32"/>
                <w:szCs w:val="32"/>
                <w14:ligatures w14:val="none"/>
              </w:rPr>
              <w:t>equates to:</w:t>
            </w:r>
          </w:p>
          <w:p w14:paraId="248C9059" w14:textId="77777777" w:rsidR="00522DDE" w:rsidRPr="00641C7D" w:rsidRDefault="00522DDE" w:rsidP="00522DDE">
            <w:pPr>
              <w:widowControl w:val="0"/>
              <w:spacing w:after="200"/>
              <w:jc w:val="center"/>
              <w:rPr>
                <w:rFonts w:ascii="Century Gothic" w:hAnsi="Century Gothic"/>
                <w:color w:val="FFFFFF"/>
                <w:sz w:val="24"/>
                <w:szCs w:val="24"/>
                <w14:ligatures w14:val="none"/>
              </w:rPr>
            </w:pPr>
            <w:r w:rsidRPr="008B16CD">
              <w:rPr>
                <w:rFonts w:ascii="Century Gothic" w:hAnsi="Century Gothic"/>
                <w:b/>
                <w:bCs/>
                <w:color w:val="FFFFFF"/>
                <w:sz w:val="24"/>
                <w:szCs w:val="24"/>
                <w14:ligatures w14:val="none"/>
              </w:rPr>
              <w:t>$</w:t>
            </w:r>
            <w:r w:rsidR="00DA4987">
              <w:rPr>
                <w:rFonts w:ascii="Century Gothic" w:hAnsi="Century Gothic"/>
                <w:b/>
                <w:bCs/>
                <w:color w:val="FFFFFF"/>
                <w:sz w:val="24"/>
                <w:szCs w:val="24"/>
                <w14:ligatures w14:val="none"/>
              </w:rPr>
              <w:t>4.24</w:t>
            </w:r>
            <w:r w:rsidR="00B52378">
              <w:rPr>
                <w:rFonts w:ascii="Century Gothic" w:hAnsi="Century Gothic"/>
                <w:b/>
                <w:bCs/>
                <w:color w:val="FFFFFF"/>
                <w:sz w:val="24"/>
                <w:szCs w:val="24"/>
                <w14:ligatures w14:val="none"/>
              </w:rPr>
              <w:t xml:space="preserve"> </w:t>
            </w:r>
            <w:r w:rsidRPr="00641C7D">
              <w:rPr>
                <w:rFonts w:ascii="Century Gothic" w:hAnsi="Century Gothic"/>
                <w:color w:val="FFFFFF"/>
                <w:sz w:val="24"/>
                <w:szCs w:val="24"/>
                <w14:ligatures w14:val="none"/>
              </w:rPr>
              <w:t xml:space="preserve">for every </w:t>
            </w:r>
            <w:r w:rsidRPr="008B16CD">
              <w:rPr>
                <w:rFonts w:ascii="Century Gothic" w:hAnsi="Century Gothic"/>
                <w:color w:val="FFFFFF"/>
                <w:sz w:val="24"/>
                <w:szCs w:val="24"/>
                <w14:ligatures w14:val="none"/>
              </w:rPr>
              <w:t>$1</w:t>
            </w:r>
            <w:r w:rsidRPr="00641C7D">
              <w:rPr>
                <w:rFonts w:ascii="Century Gothic" w:hAnsi="Century Gothic"/>
                <w:color w:val="FFFFFF"/>
                <w:sz w:val="24"/>
                <w:szCs w:val="24"/>
                <w14:ligatures w14:val="none"/>
              </w:rPr>
              <w:t xml:space="preserve"> of income </w:t>
            </w:r>
          </w:p>
          <w:p w14:paraId="3F8A7468" w14:textId="77777777" w:rsidR="00522DDE" w:rsidRPr="00641C7D" w:rsidRDefault="00522DDE" w:rsidP="00522DDE">
            <w:pPr>
              <w:widowControl w:val="0"/>
              <w:spacing w:after="200"/>
              <w:jc w:val="center"/>
              <w:rPr>
                <w:rFonts w:ascii="Century Gothic" w:hAnsi="Century Gothic"/>
                <w:color w:val="FFFFFF"/>
                <w:sz w:val="24"/>
                <w:szCs w:val="24"/>
                <w14:ligatures w14:val="none"/>
              </w:rPr>
            </w:pPr>
            <w:r w:rsidRPr="00641C7D">
              <w:rPr>
                <w:rFonts w:ascii="Century Gothic" w:hAnsi="Century Gothic"/>
                <w:b/>
                <w:bCs/>
                <w:color w:val="FFFFFF"/>
                <w:sz w:val="24"/>
                <w:szCs w:val="24"/>
                <w14:ligatures w14:val="none"/>
              </w:rPr>
              <w:t>$</w:t>
            </w:r>
            <w:r w:rsidR="00DA4987">
              <w:rPr>
                <w:rFonts w:ascii="Century Gothic" w:hAnsi="Century Gothic"/>
                <w:b/>
                <w:bCs/>
                <w:color w:val="FFFFFF"/>
                <w:sz w:val="24"/>
                <w:szCs w:val="24"/>
                <w14:ligatures w14:val="none"/>
              </w:rPr>
              <w:t>9.45</w:t>
            </w:r>
            <w:r w:rsidRPr="00641C7D">
              <w:rPr>
                <w:rFonts w:ascii="Century Gothic" w:hAnsi="Century Gothic"/>
                <w:b/>
                <w:bCs/>
                <w:color w:val="FFFFFF"/>
                <w:sz w:val="24"/>
                <w:szCs w:val="24"/>
                <w14:ligatures w14:val="none"/>
              </w:rPr>
              <w:t xml:space="preserve"> </w:t>
            </w:r>
            <w:r w:rsidRPr="00641C7D">
              <w:rPr>
                <w:rFonts w:ascii="Century Gothic" w:hAnsi="Century Gothic"/>
                <w:color w:val="FFFFFF"/>
                <w:sz w:val="24"/>
                <w:szCs w:val="24"/>
                <w14:ligatures w14:val="none"/>
              </w:rPr>
              <w:t xml:space="preserve">for every </w:t>
            </w:r>
            <w:r w:rsidRPr="00641C7D">
              <w:rPr>
                <w:rFonts w:ascii="Century Gothic" w:hAnsi="Century Gothic"/>
                <w:b/>
                <w:bCs/>
                <w:color w:val="FFFFFF"/>
                <w:sz w:val="24"/>
                <w:szCs w:val="24"/>
                <w14:ligatures w14:val="none"/>
              </w:rPr>
              <w:t>$1</w:t>
            </w:r>
            <w:r w:rsidRPr="00641C7D">
              <w:rPr>
                <w:rFonts w:ascii="Century Gothic" w:hAnsi="Century Gothic"/>
                <w:color w:val="FFFFFF"/>
                <w:sz w:val="24"/>
                <w:szCs w:val="24"/>
                <w14:ligatures w14:val="none"/>
              </w:rPr>
              <w:t xml:space="preserve"> </w:t>
            </w:r>
            <w:r w:rsidRPr="00641C7D">
              <w:rPr>
                <w:rFonts w:ascii="Century Gothic" w:hAnsi="Century Gothic"/>
                <w:color w:val="FFFFFF"/>
                <w:sz w:val="24"/>
                <w:szCs w:val="24"/>
                <w14:ligatures w14:val="none"/>
              </w:rPr>
              <w:br/>
              <w:t>of Neighbourhood House Coordination Program funding</w:t>
            </w:r>
          </w:p>
          <w:p w14:paraId="3DA09DF6" w14:textId="77777777" w:rsidR="00522DDE" w:rsidRPr="00641C7D" w:rsidRDefault="00522DDE" w:rsidP="008B16CD">
            <w:pPr>
              <w:widowControl w:val="0"/>
              <w:spacing w:after="200"/>
              <w:jc w:val="center"/>
              <w:rPr>
                <w:rFonts w:ascii="Century Gothic" w:hAnsi="Century Gothic"/>
              </w:rPr>
            </w:pPr>
            <w:r w:rsidRPr="00641C7D">
              <w:rPr>
                <w:rFonts w:ascii="Century Gothic" w:hAnsi="Century Gothic"/>
                <w:color w:val="FFFFFF"/>
                <w:sz w:val="24"/>
                <w:szCs w:val="24"/>
                <w14:ligatures w14:val="none"/>
              </w:rPr>
              <w:t xml:space="preserve">Over </w:t>
            </w:r>
            <w:r w:rsidRPr="00641C7D">
              <w:rPr>
                <w:rFonts w:ascii="Century Gothic" w:hAnsi="Century Gothic"/>
                <w:b/>
                <w:bCs/>
                <w:color w:val="FFFFFF"/>
                <w:sz w:val="24"/>
                <w:szCs w:val="24"/>
                <w14:ligatures w14:val="none"/>
              </w:rPr>
              <w:t>$</w:t>
            </w:r>
            <w:r w:rsidR="00DA4987">
              <w:rPr>
                <w:rFonts w:ascii="Century Gothic" w:hAnsi="Century Gothic"/>
                <w:b/>
                <w:bCs/>
                <w:color w:val="FFFFFF"/>
                <w:sz w:val="24"/>
                <w:szCs w:val="24"/>
                <w14:ligatures w14:val="none"/>
              </w:rPr>
              <w:t>394.20</w:t>
            </w:r>
            <w:r w:rsidRPr="00641C7D">
              <w:rPr>
                <w:rFonts w:ascii="Century Gothic" w:hAnsi="Century Gothic"/>
                <w:b/>
                <w:bCs/>
                <w:color w:val="FFFFFF"/>
                <w:sz w:val="24"/>
                <w:szCs w:val="24"/>
                <w14:ligatures w14:val="none"/>
              </w:rPr>
              <w:t xml:space="preserve"> </w:t>
            </w:r>
            <w:r w:rsidRPr="00641C7D">
              <w:rPr>
                <w:rFonts w:ascii="Century Gothic" w:hAnsi="Century Gothic"/>
                <w:color w:val="FFFFFF"/>
                <w:sz w:val="24"/>
                <w:szCs w:val="24"/>
                <w14:ligatures w14:val="none"/>
              </w:rPr>
              <w:t>for every hour the neighbourhood house is in use</w:t>
            </w:r>
          </w:p>
        </w:tc>
      </w:tr>
      <w:bookmarkEnd w:id="0"/>
    </w:tbl>
    <w:p w14:paraId="767AEC9F" w14:textId="77777777" w:rsidR="000F5871" w:rsidRDefault="000F5871">
      <w:pPr>
        <w:spacing w:after="160" w:line="259" w:lineRule="auto"/>
      </w:pPr>
      <w:r>
        <w:br w:type="page"/>
      </w:r>
    </w:p>
    <w:p w14:paraId="64D491AF" w14:textId="77777777" w:rsidR="00AD2191" w:rsidRPr="00A1438D" w:rsidRDefault="00AD2191" w:rsidP="00553FA2">
      <w:pPr>
        <w:pStyle w:val="Heading1"/>
        <w:spacing w:after="360"/>
        <w:rPr>
          <w:rFonts w:ascii="Century Gothic" w:hAnsi="Century Gothic"/>
        </w:rPr>
      </w:pPr>
      <w:r w:rsidRPr="00A1438D">
        <w:rPr>
          <w:rFonts w:ascii="Century Gothic" w:hAnsi="Century Gothic"/>
        </w:rPr>
        <w:lastRenderedPageBreak/>
        <w:t>Value to communities from selected Neighbourhood House activities</w:t>
      </w:r>
    </w:p>
    <w:p w14:paraId="49E5E594" w14:textId="77777777" w:rsidR="00AD2191" w:rsidRPr="00553FA2" w:rsidRDefault="00AD2191" w:rsidP="00AD2191">
      <w:pPr>
        <w:pStyle w:val="Heading2"/>
        <w:rPr>
          <w:rFonts w:ascii="Century Gothic" w:hAnsi="Century Gothic"/>
          <w:sz w:val="32"/>
          <w:szCs w:val="32"/>
        </w:rPr>
      </w:pPr>
      <w:r w:rsidRPr="00553FA2">
        <w:rPr>
          <w:rFonts w:ascii="Century Gothic" w:hAnsi="Century Gothic"/>
          <w:sz w:val="32"/>
          <w:szCs w:val="32"/>
        </w:rPr>
        <w:t>Basis of calculation</w:t>
      </w:r>
    </w:p>
    <w:p w14:paraId="13A53409" w14:textId="77777777" w:rsidR="00AD2191" w:rsidRPr="00A1438D" w:rsidRDefault="00AD2191" w:rsidP="00AD2191">
      <w:pPr>
        <w:rPr>
          <w:rFonts w:ascii="Century Gothic" w:hAnsi="Century Gothic"/>
          <w:lang w:eastAsia="en-US"/>
        </w:rPr>
      </w:pPr>
    </w:p>
    <w:p w14:paraId="43CA0BDF" w14:textId="77777777" w:rsidR="00AD2191" w:rsidRPr="00A1438D" w:rsidRDefault="00AD2191" w:rsidP="00AD2191">
      <w:pPr>
        <w:pStyle w:val="Default"/>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The </w:t>
      </w:r>
      <w:r w:rsidR="00DA4987">
        <w:rPr>
          <w:rFonts w:ascii="Century Gothic" w:hAnsi="Century Gothic" w:cstheme="minorHAnsi"/>
          <w:color w:val="auto"/>
          <w:sz w:val="22"/>
          <w:szCs w:val="22"/>
        </w:rPr>
        <w:t>Manna Gum Community House</w:t>
      </w:r>
      <w:r w:rsidR="002916A2" w:rsidRPr="00A1438D">
        <w:rPr>
          <w:rFonts w:ascii="Century Gothic" w:hAnsi="Century Gothic" w:cstheme="minorHAnsi"/>
          <w:color w:val="auto"/>
          <w:sz w:val="22"/>
          <w:szCs w:val="22"/>
        </w:rPr>
        <w:t xml:space="preserve"> </w:t>
      </w:r>
      <w:r w:rsidRPr="00A1438D">
        <w:rPr>
          <w:rFonts w:ascii="Century Gothic" w:hAnsi="Century Gothic" w:cstheme="minorHAnsi"/>
          <w:color w:val="auto"/>
          <w:sz w:val="22"/>
          <w:szCs w:val="22"/>
        </w:rPr>
        <w:t xml:space="preserve">provided in excess of </w:t>
      </w:r>
      <w:r w:rsidR="00DA4987">
        <w:rPr>
          <w:rFonts w:ascii="Century Gothic" w:hAnsi="Century Gothic" w:cstheme="minorHAnsi"/>
          <w:color w:val="auto"/>
          <w:sz w:val="22"/>
          <w:szCs w:val="22"/>
        </w:rPr>
        <w:t>$748,972</w:t>
      </w:r>
      <w:r w:rsidRPr="00A1438D">
        <w:rPr>
          <w:rFonts w:ascii="Century Gothic" w:hAnsi="Century Gothic" w:cstheme="minorHAnsi"/>
          <w:color w:val="auto"/>
          <w:sz w:val="22"/>
          <w:szCs w:val="22"/>
        </w:rPr>
        <w:t xml:space="preserve"> of value to the community for 2019. This is based on data provided through the Neighbourhood House Survey 2019.</w:t>
      </w:r>
    </w:p>
    <w:p w14:paraId="3936323E" w14:textId="77777777" w:rsidR="00AD2191" w:rsidRPr="00A1438D" w:rsidRDefault="00AD2191" w:rsidP="00AD2191">
      <w:pPr>
        <w:pStyle w:val="Default"/>
        <w:rPr>
          <w:rFonts w:ascii="Century Gothic" w:hAnsi="Century Gothic" w:cstheme="minorHAnsi"/>
          <w:color w:val="auto"/>
          <w:sz w:val="22"/>
          <w:szCs w:val="22"/>
        </w:rPr>
      </w:pPr>
    </w:p>
    <w:p w14:paraId="6F325242" w14:textId="77777777" w:rsidR="00AD2191" w:rsidRPr="00A1438D" w:rsidRDefault="00AD2191" w:rsidP="00AD2191">
      <w:pPr>
        <w:pStyle w:val="Heading3"/>
        <w:rPr>
          <w:rFonts w:ascii="Century Gothic" w:hAnsi="Century Gothic" w:cstheme="minorHAnsi"/>
          <w:sz w:val="22"/>
          <w:szCs w:val="22"/>
        </w:rPr>
      </w:pPr>
      <w:r w:rsidRPr="00A1438D">
        <w:rPr>
          <w:rFonts w:ascii="Century Gothic" w:hAnsi="Century Gothic" w:cstheme="minorHAnsi"/>
          <w:sz w:val="22"/>
          <w:szCs w:val="22"/>
        </w:rPr>
        <w:t>This is figure includes the value of:</w:t>
      </w:r>
    </w:p>
    <w:p w14:paraId="788A90BB" w14:textId="77777777" w:rsidR="00AD2191" w:rsidRPr="00A1438D" w:rsidRDefault="00AD2191" w:rsidP="00AD2191">
      <w:pPr>
        <w:pStyle w:val="Default"/>
        <w:numPr>
          <w:ilvl w:val="0"/>
          <w:numId w:val="10"/>
        </w:numPr>
        <w:rPr>
          <w:rFonts w:ascii="Century Gothic" w:hAnsi="Century Gothic" w:cstheme="minorHAnsi"/>
          <w:sz w:val="22"/>
          <w:szCs w:val="22"/>
        </w:rPr>
      </w:pPr>
      <w:r w:rsidRPr="00A1438D">
        <w:rPr>
          <w:rFonts w:ascii="Century Gothic" w:hAnsi="Century Gothic" w:cstheme="minorHAnsi"/>
          <w:sz w:val="22"/>
          <w:szCs w:val="22"/>
        </w:rPr>
        <w:t>Improved quality of life through social connection</w:t>
      </w:r>
      <w:r w:rsidRPr="00A1438D">
        <w:rPr>
          <w:rFonts w:ascii="Century Gothic" w:hAnsi="Century Gothic" w:cstheme="minorHAnsi"/>
          <w:color w:val="auto"/>
          <w:sz w:val="22"/>
          <w:szCs w:val="22"/>
        </w:rPr>
        <w:t xml:space="preserve">: based on </w:t>
      </w:r>
      <w:r w:rsidR="00DA4987">
        <w:rPr>
          <w:rFonts w:ascii="Century Gothic" w:hAnsi="Century Gothic" w:cstheme="minorHAnsi"/>
          <w:b/>
          <w:bCs/>
          <w:color w:val="auto"/>
          <w:sz w:val="22"/>
          <w:szCs w:val="22"/>
        </w:rPr>
        <w:t>20</w:t>
      </w:r>
      <w:r w:rsidRPr="00A1438D">
        <w:rPr>
          <w:rFonts w:ascii="Century Gothic" w:hAnsi="Century Gothic" w:cstheme="minorHAnsi"/>
          <w:color w:val="auto"/>
          <w:sz w:val="22"/>
          <w:szCs w:val="22"/>
        </w:rPr>
        <w:t xml:space="preserve"> participants in programmed activities per week</w:t>
      </w:r>
    </w:p>
    <w:p w14:paraId="76DF3F5B"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Volunteer contributions: based on</w:t>
      </w:r>
      <w:r w:rsidRPr="00A1438D">
        <w:rPr>
          <w:rFonts w:ascii="Century Gothic" w:hAnsi="Century Gothic" w:cstheme="minorHAnsi"/>
          <w:b/>
          <w:bCs/>
          <w:sz w:val="22"/>
          <w:szCs w:val="22"/>
        </w:rPr>
        <w:t xml:space="preserve"> </w:t>
      </w:r>
      <w:r w:rsidR="00DA4987">
        <w:rPr>
          <w:rFonts w:ascii="Century Gothic" w:hAnsi="Century Gothic" w:cstheme="minorHAnsi"/>
          <w:b/>
          <w:bCs/>
          <w:sz w:val="22"/>
          <w:szCs w:val="22"/>
        </w:rPr>
        <w:t>131</w:t>
      </w:r>
      <w:r w:rsidRPr="00A1438D">
        <w:rPr>
          <w:rFonts w:ascii="Century Gothic" w:hAnsi="Century Gothic" w:cstheme="minorHAnsi"/>
          <w:sz w:val="22"/>
          <w:szCs w:val="22"/>
        </w:rPr>
        <w:t xml:space="preserve"> volunteer hrs per week</w:t>
      </w:r>
    </w:p>
    <w:p w14:paraId="6D8E75C6"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Food and groceries: based on </w:t>
      </w:r>
      <w:r w:rsidR="00DA4987">
        <w:rPr>
          <w:rFonts w:ascii="Century Gothic" w:hAnsi="Century Gothic" w:cstheme="minorHAnsi"/>
          <w:b/>
          <w:bCs/>
          <w:color w:val="auto"/>
          <w:sz w:val="22"/>
          <w:szCs w:val="22"/>
        </w:rPr>
        <w:t>275</w:t>
      </w:r>
      <w:r w:rsidRPr="00A1438D">
        <w:rPr>
          <w:rFonts w:ascii="Century Gothic" w:hAnsi="Century Gothic" w:cstheme="minorHAnsi"/>
          <w:b/>
          <w:bCs/>
          <w:color w:val="auto"/>
          <w:sz w:val="22"/>
          <w:szCs w:val="22"/>
        </w:rPr>
        <w:t xml:space="preserve"> kgs</w:t>
      </w:r>
      <w:r w:rsidRPr="00A1438D">
        <w:rPr>
          <w:rFonts w:ascii="Century Gothic" w:hAnsi="Century Gothic" w:cstheme="minorHAnsi"/>
          <w:color w:val="auto"/>
          <w:sz w:val="22"/>
          <w:szCs w:val="22"/>
        </w:rPr>
        <w:t xml:space="preserve"> of food relief provided per month</w:t>
      </w:r>
    </w:p>
    <w:p w14:paraId="0D49268B"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Food vouchers: based on </w:t>
      </w:r>
      <w:r w:rsidR="003855AE" w:rsidRPr="00A1438D">
        <w:rPr>
          <w:rFonts w:ascii="Century Gothic" w:hAnsi="Century Gothic" w:cstheme="minorHAnsi"/>
          <w:color w:val="auto"/>
          <w:sz w:val="22"/>
          <w:szCs w:val="22"/>
        </w:rPr>
        <w:t xml:space="preserve">an </w:t>
      </w:r>
      <w:r w:rsidRPr="00A1438D">
        <w:rPr>
          <w:rFonts w:ascii="Century Gothic" w:hAnsi="Century Gothic" w:cstheme="minorHAnsi"/>
          <w:color w:val="auto"/>
          <w:sz w:val="22"/>
          <w:szCs w:val="22"/>
        </w:rPr>
        <w:t>average</w:t>
      </w:r>
      <w:r w:rsidR="003855AE" w:rsidRPr="00A1438D">
        <w:rPr>
          <w:rFonts w:ascii="Century Gothic" w:hAnsi="Century Gothic" w:cstheme="minorHAnsi"/>
          <w:color w:val="auto"/>
          <w:sz w:val="22"/>
          <w:szCs w:val="22"/>
        </w:rPr>
        <w:t xml:space="preserve"> of</w:t>
      </w:r>
      <w:r w:rsidRPr="00A1438D">
        <w:rPr>
          <w:rFonts w:ascii="Century Gothic" w:hAnsi="Century Gothic" w:cstheme="minorHAnsi"/>
          <w:color w:val="auto"/>
          <w:sz w:val="22"/>
          <w:szCs w:val="22"/>
        </w:rPr>
        <w:t xml:space="preserve"> </w:t>
      </w:r>
      <w:r w:rsidR="00DA4987">
        <w:rPr>
          <w:rFonts w:ascii="Century Gothic" w:hAnsi="Century Gothic" w:cstheme="minorHAnsi"/>
          <w:b/>
          <w:bCs/>
          <w:color w:val="auto"/>
          <w:sz w:val="22"/>
          <w:szCs w:val="22"/>
        </w:rPr>
        <w:t>$300</w:t>
      </w:r>
      <w:r w:rsidRPr="00A1438D">
        <w:rPr>
          <w:rFonts w:ascii="Century Gothic" w:hAnsi="Century Gothic" w:cstheme="minorHAnsi"/>
          <w:color w:val="auto"/>
          <w:sz w:val="22"/>
          <w:szCs w:val="22"/>
        </w:rPr>
        <w:t xml:space="preserve"> </w:t>
      </w:r>
      <w:r w:rsidR="00A2159C" w:rsidRPr="00A1438D">
        <w:rPr>
          <w:rFonts w:ascii="Century Gothic" w:hAnsi="Century Gothic" w:cstheme="minorHAnsi"/>
          <w:color w:val="auto"/>
          <w:sz w:val="22"/>
          <w:szCs w:val="22"/>
        </w:rPr>
        <w:t xml:space="preserve">of </w:t>
      </w:r>
      <w:r w:rsidRPr="00A1438D">
        <w:rPr>
          <w:rFonts w:ascii="Century Gothic" w:hAnsi="Century Gothic" w:cstheme="minorHAnsi"/>
          <w:color w:val="auto"/>
          <w:sz w:val="22"/>
          <w:szCs w:val="22"/>
        </w:rPr>
        <w:t>voucher</w:t>
      </w:r>
      <w:r w:rsidR="00A2159C" w:rsidRPr="00A1438D">
        <w:rPr>
          <w:rFonts w:ascii="Century Gothic" w:hAnsi="Century Gothic" w:cstheme="minorHAnsi"/>
          <w:color w:val="auto"/>
          <w:sz w:val="22"/>
          <w:szCs w:val="22"/>
        </w:rPr>
        <w:t>s</w:t>
      </w:r>
      <w:r w:rsidRPr="00A1438D">
        <w:rPr>
          <w:rFonts w:ascii="Century Gothic" w:hAnsi="Century Gothic" w:cstheme="minorHAnsi"/>
          <w:color w:val="auto"/>
          <w:sz w:val="22"/>
          <w:szCs w:val="22"/>
        </w:rPr>
        <w:t xml:space="preserve"> </w:t>
      </w:r>
      <w:r w:rsidR="006063A4" w:rsidRPr="00A1438D">
        <w:rPr>
          <w:rFonts w:ascii="Century Gothic" w:hAnsi="Century Gothic" w:cstheme="minorHAnsi"/>
          <w:color w:val="auto"/>
          <w:sz w:val="22"/>
          <w:szCs w:val="22"/>
        </w:rPr>
        <w:t xml:space="preserve">provided </w:t>
      </w:r>
      <w:r w:rsidRPr="00A1438D">
        <w:rPr>
          <w:rFonts w:ascii="Century Gothic" w:hAnsi="Century Gothic" w:cstheme="minorHAnsi"/>
          <w:color w:val="auto"/>
          <w:sz w:val="22"/>
          <w:szCs w:val="22"/>
        </w:rPr>
        <w:t>per month</w:t>
      </w:r>
    </w:p>
    <w:p w14:paraId="4A584E7B"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Cash/prepaid or gift card: based on </w:t>
      </w:r>
      <w:r w:rsidR="00DA4987">
        <w:rPr>
          <w:rFonts w:ascii="Century Gothic" w:hAnsi="Century Gothic" w:cstheme="minorHAnsi"/>
          <w:b/>
          <w:bCs/>
          <w:color w:val="auto"/>
          <w:sz w:val="22"/>
          <w:szCs w:val="22"/>
        </w:rPr>
        <w:t>$0</w:t>
      </w:r>
      <w:r w:rsidRPr="00A1438D">
        <w:rPr>
          <w:rFonts w:ascii="Century Gothic" w:hAnsi="Century Gothic" w:cstheme="minorHAnsi"/>
          <w:color w:val="auto"/>
          <w:sz w:val="22"/>
          <w:szCs w:val="22"/>
        </w:rPr>
        <w:t xml:space="preserve"> cash/card value </w:t>
      </w:r>
      <w:r w:rsidR="0084658B" w:rsidRPr="00A1438D">
        <w:rPr>
          <w:rFonts w:ascii="Century Gothic" w:hAnsi="Century Gothic" w:cstheme="minorHAnsi"/>
          <w:color w:val="auto"/>
          <w:sz w:val="22"/>
          <w:szCs w:val="22"/>
        </w:rPr>
        <w:t xml:space="preserve">provided </w:t>
      </w:r>
      <w:r w:rsidRPr="00A1438D">
        <w:rPr>
          <w:rFonts w:ascii="Century Gothic" w:hAnsi="Century Gothic" w:cstheme="minorHAnsi"/>
          <w:color w:val="auto"/>
          <w:sz w:val="22"/>
          <w:szCs w:val="22"/>
        </w:rPr>
        <w:t>per month</w:t>
      </w:r>
    </w:p>
    <w:p w14:paraId="38C79010"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Bill payments: based on </w:t>
      </w:r>
      <w:r w:rsidR="00DA4987">
        <w:rPr>
          <w:rFonts w:ascii="Century Gothic" w:hAnsi="Century Gothic" w:cstheme="minorHAnsi"/>
          <w:b/>
          <w:bCs/>
          <w:color w:val="auto"/>
          <w:sz w:val="22"/>
          <w:szCs w:val="22"/>
        </w:rPr>
        <w:t>$0</w:t>
      </w:r>
      <w:r w:rsidRPr="00A1438D">
        <w:rPr>
          <w:rFonts w:ascii="Century Gothic" w:hAnsi="Century Gothic" w:cstheme="minorHAnsi"/>
          <w:color w:val="auto"/>
          <w:sz w:val="22"/>
          <w:szCs w:val="22"/>
        </w:rPr>
        <w:t xml:space="preserve"> of participant bills paid for per month</w:t>
      </w:r>
    </w:p>
    <w:p w14:paraId="5AEE854F"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Fuel Vouchers: based on </w:t>
      </w:r>
      <w:r w:rsidR="0084658B" w:rsidRPr="00A1438D">
        <w:rPr>
          <w:rFonts w:ascii="Century Gothic" w:hAnsi="Century Gothic" w:cstheme="minorHAnsi"/>
          <w:color w:val="auto"/>
          <w:sz w:val="22"/>
          <w:szCs w:val="22"/>
        </w:rPr>
        <w:t xml:space="preserve">an </w:t>
      </w:r>
      <w:r w:rsidRPr="00A1438D">
        <w:rPr>
          <w:rFonts w:ascii="Century Gothic" w:hAnsi="Century Gothic" w:cstheme="minorHAnsi"/>
          <w:color w:val="auto"/>
          <w:sz w:val="22"/>
          <w:szCs w:val="22"/>
        </w:rPr>
        <w:t>average</w:t>
      </w:r>
      <w:r w:rsidR="0084658B" w:rsidRPr="00A1438D">
        <w:rPr>
          <w:rFonts w:ascii="Century Gothic" w:hAnsi="Century Gothic" w:cstheme="minorHAnsi"/>
          <w:color w:val="auto"/>
          <w:sz w:val="22"/>
          <w:szCs w:val="22"/>
        </w:rPr>
        <w:t xml:space="preserve"> of</w:t>
      </w:r>
      <w:r w:rsidRPr="00A1438D">
        <w:rPr>
          <w:rFonts w:ascii="Century Gothic" w:hAnsi="Century Gothic" w:cstheme="minorHAnsi"/>
          <w:color w:val="auto"/>
          <w:sz w:val="22"/>
          <w:szCs w:val="22"/>
        </w:rPr>
        <w:t xml:space="preserve"> </w:t>
      </w:r>
      <w:r w:rsidR="00DA4987">
        <w:rPr>
          <w:rFonts w:ascii="Century Gothic" w:hAnsi="Century Gothic" w:cstheme="minorHAnsi"/>
          <w:b/>
          <w:bCs/>
          <w:color w:val="auto"/>
          <w:sz w:val="22"/>
          <w:szCs w:val="22"/>
        </w:rPr>
        <w:t>$100</w:t>
      </w:r>
      <w:r w:rsidRPr="00A1438D">
        <w:rPr>
          <w:rFonts w:ascii="Century Gothic" w:hAnsi="Century Gothic" w:cstheme="minorHAnsi"/>
          <w:color w:val="auto"/>
          <w:sz w:val="22"/>
          <w:szCs w:val="22"/>
        </w:rPr>
        <w:t xml:space="preserve"> </w:t>
      </w:r>
      <w:r w:rsidR="00A2159C" w:rsidRPr="00A1438D">
        <w:rPr>
          <w:rFonts w:ascii="Century Gothic" w:hAnsi="Century Gothic" w:cstheme="minorHAnsi"/>
          <w:color w:val="auto"/>
          <w:sz w:val="22"/>
          <w:szCs w:val="22"/>
        </w:rPr>
        <w:t xml:space="preserve">of </w:t>
      </w:r>
      <w:r w:rsidRPr="00A1438D">
        <w:rPr>
          <w:rFonts w:ascii="Century Gothic" w:hAnsi="Century Gothic" w:cstheme="minorHAnsi"/>
          <w:color w:val="auto"/>
          <w:sz w:val="22"/>
          <w:szCs w:val="22"/>
        </w:rPr>
        <w:t>voucher</w:t>
      </w:r>
      <w:r w:rsidR="00A2159C" w:rsidRPr="00A1438D">
        <w:rPr>
          <w:rFonts w:ascii="Century Gothic" w:hAnsi="Century Gothic" w:cstheme="minorHAnsi"/>
          <w:color w:val="auto"/>
          <w:sz w:val="22"/>
          <w:szCs w:val="22"/>
        </w:rPr>
        <w:t>s</w:t>
      </w:r>
      <w:r w:rsidRPr="00A1438D">
        <w:rPr>
          <w:rFonts w:ascii="Century Gothic" w:hAnsi="Century Gothic" w:cstheme="minorHAnsi"/>
          <w:color w:val="auto"/>
          <w:sz w:val="22"/>
          <w:szCs w:val="22"/>
        </w:rPr>
        <w:t xml:space="preserve"> provided per month</w:t>
      </w:r>
    </w:p>
    <w:p w14:paraId="0B7D1D31"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Public transport cards: based on average </w:t>
      </w:r>
      <w:r w:rsidR="00DA4987">
        <w:rPr>
          <w:rFonts w:ascii="Century Gothic" w:hAnsi="Century Gothic" w:cstheme="minorHAnsi"/>
          <w:b/>
          <w:bCs/>
          <w:color w:val="auto"/>
          <w:sz w:val="22"/>
          <w:szCs w:val="22"/>
        </w:rPr>
        <w:t>$0</w:t>
      </w:r>
      <w:r w:rsidRPr="00A1438D">
        <w:rPr>
          <w:rFonts w:ascii="Century Gothic" w:hAnsi="Century Gothic" w:cstheme="minorHAnsi"/>
          <w:color w:val="auto"/>
          <w:sz w:val="22"/>
          <w:szCs w:val="22"/>
        </w:rPr>
        <w:t xml:space="preserve"> </w:t>
      </w:r>
      <w:r w:rsidR="00A2159C" w:rsidRPr="00A1438D">
        <w:rPr>
          <w:rFonts w:ascii="Century Gothic" w:hAnsi="Century Gothic" w:cstheme="minorHAnsi"/>
          <w:color w:val="auto"/>
          <w:sz w:val="22"/>
          <w:szCs w:val="22"/>
        </w:rPr>
        <w:t xml:space="preserve">of </w:t>
      </w:r>
      <w:r w:rsidRPr="00A1438D">
        <w:rPr>
          <w:rFonts w:ascii="Century Gothic" w:hAnsi="Century Gothic" w:cstheme="minorHAnsi"/>
          <w:color w:val="auto"/>
          <w:sz w:val="22"/>
          <w:szCs w:val="22"/>
        </w:rPr>
        <w:t>travel card</w:t>
      </w:r>
      <w:r w:rsidR="00A2159C" w:rsidRPr="00A1438D">
        <w:rPr>
          <w:rFonts w:ascii="Century Gothic" w:hAnsi="Century Gothic" w:cstheme="minorHAnsi"/>
          <w:color w:val="auto"/>
          <w:sz w:val="22"/>
          <w:szCs w:val="22"/>
        </w:rPr>
        <w:t>s</w:t>
      </w:r>
      <w:r w:rsidRPr="00A1438D">
        <w:rPr>
          <w:rFonts w:ascii="Century Gothic" w:hAnsi="Century Gothic" w:cstheme="minorHAnsi"/>
          <w:color w:val="auto"/>
          <w:sz w:val="22"/>
          <w:szCs w:val="22"/>
        </w:rPr>
        <w:t xml:space="preserve"> value per month</w:t>
      </w:r>
    </w:p>
    <w:p w14:paraId="59D58D15"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 xml:space="preserve">Internet usage: based on </w:t>
      </w:r>
      <w:r w:rsidR="00DA4987">
        <w:rPr>
          <w:rFonts w:ascii="Century Gothic" w:hAnsi="Century Gothic" w:cstheme="minorHAnsi"/>
          <w:b/>
          <w:bCs/>
          <w:sz w:val="22"/>
          <w:szCs w:val="22"/>
        </w:rPr>
        <w:t>20</w:t>
      </w:r>
      <w:r w:rsidRPr="00A1438D">
        <w:rPr>
          <w:rFonts w:ascii="Century Gothic" w:hAnsi="Century Gothic" w:cstheme="minorHAnsi"/>
          <w:sz w:val="22"/>
          <w:szCs w:val="22"/>
        </w:rPr>
        <w:t xml:space="preserve"> </w:t>
      </w:r>
      <w:r w:rsidRPr="00A1438D">
        <w:rPr>
          <w:rFonts w:ascii="Century Gothic" w:hAnsi="Century Gothic" w:cstheme="minorHAnsi"/>
          <w:b/>
          <w:bCs/>
          <w:sz w:val="22"/>
          <w:szCs w:val="22"/>
        </w:rPr>
        <w:t xml:space="preserve">hrs </w:t>
      </w:r>
      <w:r w:rsidRPr="00A1438D">
        <w:rPr>
          <w:rFonts w:ascii="Century Gothic" w:hAnsi="Century Gothic" w:cstheme="minorHAnsi"/>
          <w:sz w:val="22"/>
          <w:szCs w:val="22"/>
        </w:rPr>
        <w:t>of individual computer/internet use per month</w:t>
      </w:r>
    </w:p>
    <w:p w14:paraId="709245E1"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 xml:space="preserve">Room Hire: based on </w:t>
      </w:r>
      <w:r w:rsidR="00DA4987">
        <w:rPr>
          <w:rFonts w:ascii="Century Gothic" w:hAnsi="Century Gothic" w:cstheme="minorHAnsi"/>
          <w:b/>
          <w:bCs/>
          <w:sz w:val="22"/>
          <w:szCs w:val="22"/>
        </w:rPr>
        <w:t>94</w:t>
      </w:r>
      <w:r w:rsidRPr="00A1438D">
        <w:rPr>
          <w:rFonts w:ascii="Century Gothic" w:hAnsi="Century Gothic" w:cstheme="minorHAnsi"/>
          <w:sz w:val="22"/>
          <w:szCs w:val="22"/>
        </w:rPr>
        <w:t xml:space="preserve"> hours of room hire </w:t>
      </w:r>
      <w:r w:rsidR="00502524" w:rsidRPr="00A1438D">
        <w:rPr>
          <w:rFonts w:ascii="Century Gothic" w:hAnsi="Century Gothic" w:cstheme="minorHAnsi"/>
          <w:sz w:val="22"/>
          <w:szCs w:val="22"/>
        </w:rPr>
        <w:t>valued at</w:t>
      </w:r>
      <w:r w:rsidRPr="00A1438D">
        <w:rPr>
          <w:rFonts w:ascii="Century Gothic" w:hAnsi="Century Gothic" w:cstheme="minorHAnsi"/>
          <w:sz w:val="22"/>
          <w:szCs w:val="22"/>
        </w:rPr>
        <w:t xml:space="preserve"> </w:t>
      </w:r>
      <w:r w:rsidRPr="00A1438D">
        <w:rPr>
          <w:rFonts w:ascii="Century Gothic" w:hAnsi="Century Gothic" w:cstheme="minorHAnsi"/>
          <w:b/>
          <w:bCs/>
          <w:sz w:val="22"/>
          <w:szCs w:val="22"/>
        </w:rPr>
        <w:t>$</w:t>
      </w:r>
      <w:r w:rsidR="00DA4987">
        <w:rPr>
          <w:rFonts w:ascii="Century Gothic" w:hAnsi="Century Gothic" w:cstheme="minorHAnsi"/>
          <w:b/>
          <w:bCs/>
          <w:sz w:val="22"/>
          <w:szCs w:val="22"/>
        </w:rPr>
        <w:t>30</w:t>
      </w:r>
      <w:r w:rsidRPr="00A1438D">
        <w:rPr>
          <w:rFonts w:ascii="Century Gothic" w:hAnsi="Century Gothic" w:cstheme="minorHAnsi"/>
          <w:sz w:val="22"/>
          <w:szCs w:val="22"/>
        </w:rPr>
        <w:t>/hr</w:t>
      </w:r>
    </w:p>
    <w:p w14:paraId="368FAE1E"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Resume assistance: based on assisting with </w:t>
      </w:r>
      <w:r w:rsidR="00DA4987">
        <w:rPr>
          <w:rFonts w:ascii="Century Gothic" w:hAnsi="Century Gothic" w:cstheme="minorHAnsi"/>
          <w:b/>
          <w:bCs/>
          <w:color w:val="auto"/>
          <w:sz w:val="22"/>
          <w:szCs w:val="22"/>
        </w:rPr>
        <w:t>4</w:t>
      </w:r>
      <w:r w:rsidRPr="00A1438D">
        <w:rPr>
          <w:rFonts w:ascii="Century Gothic" w:hAnsi="Century Gothic" w:cstheme="minorHAnsi"/>
          <w:b/>
          <w:bCs/>
          <w:color w:val="auto"/>
          <w:sz w:val="22"/>
          <w:szCs w:val="22"/>
        </w:rPr>
        <w:t xml:space="preserve"> </w:t>
      </w:r>
      <w:r w:rsidRPr="00A1438D">
        <w:rPr>
          <w:rFonts w:ascii="Century Gothic" w:hAnsi="Century Gothic" w:cstheme="minorHAnsi"/>
          <w:color w:val="auto"/>
          <w:sz w:val="22"/>
          <w:szCs w:val="22"/>
        </w:rPr>
        <w:t>resume’s/ month</w:t>
      </w:r>
    </w:p>
    <w:p w14:paraId="41178599"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Tax help: based on completing </w:t>
      </w:r>
      <w:r w:rsidR="00DA4987">
        <w:rPr>
          <w:rFonts w:ascii="Century Gothic" w:hAnsi="Century Gothic" w:cstheme="minorHAnsi"/>
          <w:b/>
          <w:bCs/>
          <w:color w:val="auto"/>
          <w:sz w:val="22"/>
          <w:szCs w:val="22"/>
        </w:rPr>
        <w:t>0</w:t>
      </w:r>
      <w:r w:rsidRPr="00A1438D">
        <w:rPr>
          <w:rFonts w:ascii="Century Gothic" w:hAnsi="Century Gothic" w:cstheme="minorHAnsi"/>
          <w:color w:val="auto"/>
          <w:sz w:val="22"/>
          <w:szCs w:val="22"/>
        </w:rPr>
        <w:t xml:space="preserve"> tax returns</w:t>
      </w:r>
      <w:r w:rsidR="00960A8D" w:rsidRPr="00A1438D">
        <w:rPr>
          <w:rFonts w:ascii="Century Gothic" w:hAnsi="Century Gothic" w:cstheme="minorHAnsi"/>
          <w:color w:val="auto"/>
          <w:sz w:val="22"/>
          <w:szCs w:val="22"/>
        </w:rPr>
        <w:t xml:space="preserve"> for 2019</w:t>
      </w:r>
    </w:p>
    <w:p w14:paraId="3E6D0A1C"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Auspicing other organisations: based on auspicing </w:t>
      </w:r>
      <w:r w:rsidR="00DA4987">
        <w:rPr>
          <w:rFonts w:ascii="Century Gothic" w:hAnsi="Century Gothic" w:cstheme="minorHAnsi"/>
          <w:b/>
          <w:bCs/>
          <w:color w:val="auto"/>
          <w:sz w:val="22"/>
          <w:szCs w:val="22"/>
        </w:rPr>
        <w:t>3</w:t>
      </w:r>
      <w:r w:rsidRPr="00A1438D">
        <w:rPr>
          <w:rFonts w:ascii="Century Gothic" w:hAnsi="Century Gothic" w:cstheme="minorHAnsi"/>
          <w:color w:val="auto"/>
          <w:sz w:val="22"/>
          <w:szCs w:val="22"/>
        </w:rPr>
        <w:t xml:space="preserve"> organisations or groups in </w:t>
      </w:r>
      <w:r w:rsidR="00BB43EB" w:rsidRPr="00A1438D">
        <w:rPr>
          <w:rFonts w:ascii="Century Gothic" w:hAnsi="Century Gothic" w:cstheme="minorHAnsi"/>
          <w:color w:val="auto"/>
          <w:sz w:val="22"/>
          <w:szCs w:val="22"/>
        </w:rPr>
        <w:t>2019</w:t>
      </w:r>
    </w:p>
    <w:p w14:paraId="7829B19B"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Community lunch, frozen or other meals: based on providing </w:t>
      </w:r>
      <w:r w:rsidR="00DA4987">
        <w:rPr>
          <w:rFonts w:ascii="Century Gothic" w:hAnsi="Century Gothic" w:cstheme="minorHAnsi"/>
          <w:b/>
          <w:bCs/>
          <w:color w:val="auto"/>
          <w:sz w:val="22"/>
          <w:szCs w:val="22"/>
        </w:rPr>
        <w:t>90</w:t>
      </w:r>
      <w:r w:rsidRPr="00A1438D">
        <w:rPr>
          <w:rFonts w:ascii="Century Gothic" w:hAnsi="Century Gothic" w:cstheme="minorHAnsi"/>
          <w:color w:val="auto"/>
          <w:sz w:val="22"/>
          <w:szCs w:val="22"/>
        </w:rPr>
        <w:t xml:space="preserve"> meals/ month</w:t>
      </w:r>
    </w:p>
    <w:p w14:paraId="728F748D" w14:textId="77777777" w:rsidR="00AD2191" w:rsidRPr="00A1438D" w:rsidRDefault="00AD2191" w:rsidP="00AD2191">
      <w:pPr>
        <w:pStyle w:val="Default"/>
        <w:numPr>
          <w:ilvl w:val="0"/>
          <w:numId w:val="10"/>
        </w:numPr>
        <w:rPr>
          <w:rFonts w:ascii="Century Gothic" w:hAnsi="Century Gothic" w:cstheme="minorHAnsi"/>
          <w:color w:val="auto"/>
          <w:sz w:val="22"/>
          <w:szCs w:val="22"/>
        </w:rPr>
      </w:pPr>
      <w:r w:rsidRPr="00A1438D">
        <w:rPr>
          <w:rFonts w:ascii="Century Gothic" w:hAnsi="Century Gothic" w:cstheme="minorHAnsi"/>
          <w:color w:val="auto"/>
          <w:sz w:val="22"/>
          <w:szCs w:val="22"/>
        </w:rPr>
        <w:t xml:space="preserve">School aged breakfast </w:t>
      </w:r>
      <w:r w:rsidR="00223271" w:rsidRPr="00A1438D">
        <w:rPr>
          <w:rFonts w:ascii="Century Gothic" w:hAnsi="Century Gothic" w:cstheme="minorHAnsi"/>
          <w:color w:val="auto"/>
          <w:sz w:val="22"/>
          <w:szCs w:val="22"/>
        </w:rPr>
        <w:t>programs</w:t>
      </w:r>
      <w:r w:rsidRPr="00A1438D">
        <w:rPr>
          <w:rFonts w:ascii="Century Gothic" w:hAnsi="Century Gothic" w:cstheme="minorHAnsi"/>
          <w:color w:val="auto"/>
          <w:sz w:val="22"/>
          <w:szCs w:val="22"/>
        </w:rPr>
        <w:t xml:space="preserve">: based on providing </w:t>
      </w:r>
      <w:r w:rsidR="00DA4987">
        <w:rPr>
          <w:rFonts w:ascii="Century Gothic" w:hAnsi="Century Gothic" w:cstheme="minorHAnsi"/>
          <w:b/>
          <w:bCs/>
          <w:color w:val="auto"/>
          <w:sz w:val="22"/>
          <w:szCs w:val="22"/>
        </w:rPr>
        <w:t>0</w:t>
      </w:r>
      <w:r w:rsidRPr="00A1438D">
        <w:rPr>
          <w:rFonts w:ascii="Century Gothic" w:hAnsi="Century Gothic" w:cstheme="minorHAnsi"/>
          <w:color w:val="auto"/>
          <w:sz w:val="22"/>
          <w:szCs w:val="22"/>
        </w:rPr>
        <w:t xml:space="preserve"> breakfast</w:t>
      </w:r>
      <w:r w:rsidR="00A06EFE" w:rsidRPr="00A1438D">
        <w:rPr>
          <w:rFonts w:ascii="Century Gothic" w:hAnsi="Century Gothic" w:cstheme="minorHAnsi"/>
          <w:color w:val="auto"/>
          <w:sz w:val="22"/>
          <w:szCs w:val="22"/>
        </w:rPr>
        <w:t>s</w:t>
      </w:r>
      <w:r w:rsidRPr="00A1438D">
        <w:rPr>
          <w:rFonts w:ascii="Century Gothic" w:hAnsi="Century Gothic" w:cstheme="minorHAnsi"/>
          <w:color w:val="auto"/>
          <w:sz w:val="22"/>
          <w:szCs w:val="22"/>
        </w:rPr>
        <w:t>/month</w:t>
      </w:r>
    </w:p>
    <w:p w14:paraId="04773F23"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 xml:space="preserve">Government subsidised Adult Community Education: based on </w:t>
      </w:r>
      <w:r w:rsidR="00DA4987">
        <w:rPr>
          <w:rFonts w:ascii="Century Gothic" w:hAnsi="Century Gothic" w:cstheme="minorHAnsi"/>
          <w:b/>
          <w:bCs/>
          <w:sz w:val="22"/>
          <w:szCs w:val="22"/>
        </w:rPr>
        <w:t>$18,336</w:t>
      </w:r>
      <w:r w:rsidRPr="00A1438D">
        <w:rPr>
          <w:rFonts w:ascii="Century Gothic" w:hAnsi="Century Gothic" w:cstheme="minorHAnsi"/>
          <w:sz w:val="22"/>
          <w:szCs w:val="22"/>
        </w:rPr>
        <w:t xml:space="preserve"> of ACE funding from ACFE and or DET</w:t>
      </w:r>
    </w:p>
    <w:p w14:paraId="6DBDC335"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 xml:space="preserve">Childcare provided: based on </w:t>
      </w:r>
      <w:r w:rsidR="00DA4987">
        <w:rPr>
          <w:rFonts w:ascii="Century Gothic" w:hAnsi="Century Gothic" w:cstheme="minorHAnsi"/>
          <w:b/>
          <w:bCs/>
          <w:sz w:val="22"/>
          <w:szCs w:val="22"/>
        </w:rPr>
        <w:t>$0</w:t>
      </w:r>
      <w:r w:rsidRPr="00A1438D">
        <w:rPr>
          <w:rFonts w:ascii="Century Gothic" w:hAnsi="Century Gothic" w:cstheme="minorHAnsi"/>
          <w:sz w:val="22"/>
          <w:szCs w:val="22"/>
        </w:rPr>
        <w:t xml:space="preserve"> total annual childcare income</w:t>
      </w:r>
    </w:p>
    <w:p w14:paraId="23F6A983" w14:textId="77777777" w:rsidR="00AD2191" w:rsidRPr="00A1438D" w:rsidRDefault="00AD2191" w:rsidP="00AD2191">
      <w:pPr>
        <w:pStyle w:val="ListParagraph"/>
        <w:numPr>
          <w:ilvl w:val="0"/>
          <w:numId w:val="10"/>
        </w:numPr>
        <w:spacing w:after="0"/>
        <w:rPr>
          <w:rFonts w:ascii="Century Gothic" w:hAnsi="Century Gothic" w:cstheme="minorHAnsi"/>
          <w:sz w:val="22"/>
          <w:szCs w:val="22"/>
        </w:rPr>
      </w:pPr>
      <w:r w:rsidRPr="00A1438D">
        <w:rPr>
          <w:rFonts w:ascii="Century Gothic" w:hAnsi="Century Gothic" w:cstheme="minorHAnsi"/>
          <w:sz w:val="22"/>
          <w:szCs w:val="22"/>
        </w:rPr>
        <w:t xml:space="preserve">4-year-old </w:t>
      </w:r>
      <w:r w:rsidR="00223271" w:rsidRPr="00A1438D">
        <w:rPr>
          <w:rFonts w:ascii="Century Gothic" w:hAnsi="Century Gothic" w:cstheme="minorHAnsi"/>
          <w:sz w:val="22"/>
          <w:szCs w:val="22"/>
        </w:rPr>
        <w:t>k</w:t>
      </w:r>
      <w:r w:rsidRPr="00A1438D">
        <w:rPr>
          <w:rFonts w:ascii="Century Gothic" w:hAnsi="Century Gothic" w:cstheme="minorHAnsi"/>
          <w:sz w:val="22"/>
          <w:szCs w:val="22"/>
        </w:rPr>
        <w:t xml:space="preserve">indergarten: based on </w:t>
      </w:r>
      <w:r w:rsidR="00DA4987">
        <w:rPr>
          <w:rFonts w:ascii="Century Gothic" w:hAnsi="Century Gothic" w:cstheme="minorHAnsi"/>
          <w:b/>
          <w:bCs/>
          <w:sz w:val="22"/>
          <w:szCs w:val="22"/>
        </w:rPr>
        <w:t>$0</w:t>
      </w:r>
      <w:r w:rsidRPr="00A1438D">
        <w:rPr>
          <w:rFonts w:ascii="Century Gothic" w:hAnsi="Century Gothic" w:cstheme="minorHAnsi"/>
          <w:sz w:val="22"/>
          <w:szCs w:val="22"/>
        </w:rPr>
        <w:t xml:space="preserve"> total annual </w:t>
      </w:r>
      <w:r w:rsidR="00223271" w:rsidRPr="00A1438D">
        <w:rPr>
          <w:rFonts w:ascii="Century Gothic" w:hAnsi="Century Gothic" w:cstheme="minorHAnsi"/>
          <w:sz w:val="22"/>
          <w:szCs w:val="22"/>
        </w:rPr>
        <w:t>k</w:t>
      </w:r>
      <w:r w:rsidRPr="00A1438D">
        <w:rPr>
          <w:rFonts w:ascii="Century Gothic" w:hAnsi="Century Gothic" w:cstheme="minorHAnsi"/>
          <w:sz w:val="22"/>
          <w:szCs w:val="22"/>
        </w:rPr>
        <w:t>indergarten income</w:t>
      </w:r>
    </w:p>
    <w:p w14:paraId="48D1D7BD" w14:textId="77777777" w:rsidR="00AD2191" w:rsidRPr="00A1438D" w:rsidRDefault="00AD2191" w:rsidP="00AD2191">
      <w:pPr>
        <w:pStyle w:val="Default"/>
        <w:rPr>
          <w:rFonts w:ascii="Century Gothic" w:hAnsi="Century Gothic" w:cstheme="minorHAnsi"/>
          <w:b/>
          <w:bCs/>
          <w:color w:val="auto"/>
          <w:sz w:val="22"/>
          <w:szCs w:val="22"/>
        </w:rPr>
      </w:pPr>
    </w:p>
    <w:p w14:paraId="354E3CA3" w14:textId="77777777" w:rsidR="00AD2191" w:rsidRPr="00A1438D" w:rsidRDefault="00AD2191" w:rsidP="00AD2191">
      <w:pPr>
        <w:rPr>
          <w:rFonts w:ascii="Century Gothic" w:hAnsi="Century Gothic" w:cstheme="minorHAnsi"/>
          <w:sz w:val="22"/>
          <w:szCs w:val="22"/>
        </w:rPr>
      </w:pPr>
      <w:r w:rsidRPr="00A1438D">
        <w:rPr>
          <w:rFonts w:ascii="Century Gothic" w:hAnsi="Century Gothic" w:cstheme="minorHAnsi"/>
          <w:sz w:val="22"/>
          <w:szCs w:val="22"/>
        </w:rPr>
        <w:t>This equates to:</w:t>
      </w:r>
    </w:p>
    <w:p w14:paraId="1578FDED" w14:textId="77777777" w:rsidR="00AD2191" w:rsidRPr="00A1438D" w:rsidRDefault="00AD2191" w:rsidP="00AD2191">
      <w:pPr>
        <w:pStyle w:val="Heading2"/>
        <w:numPr>
          <w:ilvl w:val="0"/>
          <w:numId w:val="9"/>
        </w:numPr>
        <w:rPr>
          <w:rFonts w:ascii="Century Gothic" w:eastAsiaTheme="minorHAnsi" w:hAnsi="Century Gothic" w:cstheme="minorHAnsi"/>
          <w:b w:val="0"/>
          <w:color w:val="auto"/>
          <w:sz w:val="22"/>
          <w:szCs w:val="22"/>
        </w:rPr>
      </w:pPr>
      <w:r w:rsidRPr="00A1438D">
        <w:rPr>
          <w:rFonts w:ascii="Century Gothic" w:eastAsiaTheme="minorHAnsi" w:hAnsi="Century Gothic" w:cstheme="minorHAnsi"/>
          <w:b w:val="0"/>
          <w:color w:val="auto"/>
          <w:sz w:val="22"/>
          <w:szCs w:val="22"/>
        </w:rPr>
        <w:t>Community value for every $1 of Neighbourhood House Coordination Program funding based on</w:t>
      </w:r>
      <w:r w:rsidRPr="00A1438D">
        <w:rPr>
          <w:rFonts w:ascii="Century Gothic" w:eastAsiaTheme="minorHAnsi" w:hAnsi="Century Gothic" w:cstheme="minorHAnsi"/>
          <w:bCs/>
          <w:color w:val="auto"/>
          <w:sz w:val="22"/>
          <w:szCs w:val="22"/>
        </w:rPr>
        <w:t xml:space="preserve"> </w:t>
      </w:r>
      <w:r w:rsidR="00DA4987">
        <w:rPr>
          <w:rFonts w:ascii="Century Gothic" w:eastAsiaTheme="minorHAnsi" w:hAnsi="Century Gothic" w:cstheme="minorHAnsi"/>
          <w:bCs/>
          <w:color w:val="auto"/>
          <w:sz w:val="22"/>
          <w:szCs w:val="22"/>
        </w:rPr>
        <w:t>25</w:t>
      </w:r>
      <w:r w:rsidRPr="00A1438D">
        <w:rPr>
          <w:rFonts w:ascii="Century Gothic" w:eastAsiaTheme="minorHAnsi" w:hAnsi="Century Gothic" w:cstheme="minorHAnsi"/>
          <w:b w:val="0"/>
          <w:color w:val="auto"/>
          <w:sz w:val="22"/>
          <w:szCs w:val="22"/>
        </w:rPr>
        <w:t xml:space="preserve"> hours</w:t>
      </w:r>
      <w:r w:rsidR="00A2159C" w:rsidRPr="00A1438D">
        <w:rPr>
          <w:rFonts w:ascii="Century Gothic" w:eastAsiaTheme="minorHAnsi" w:hAnsi="Century Gothic" w:cstheme="minorHAnsi"/>
          <w:b w:val="0"/>
          <w:color w:val="auto"/>
          <w:sz w:val="22"/>
          <w:szCs w:val="22"/>
        </w:rPr>
        <w:t>/week</w:t>
      </w:r>
      <w:r w:rsidRPr="00A1438D">
        <w:rPr>
          <w:rFonts w:ascii="Century Gothic" w:eastAsiaTheme="minorHAnsi" w:hAnsi="Century Gothic" w:cstheme="minorHAnsi"/>
          <w:b w:val="0"/>
          <w:color w:val="auto"/>
          <w:sz w:val="22"/>
          <w:szCs w:val="22"/>
        </w:rPr>
        <w:t xml:space="preserve"> of NHCP</w:t>
      </w:r>
    </w:p>
    <w:p w14:paraId="5DB2363A" w14:textId="77777777" w:rsidR="00AD2191" w:rsidRPr="00A1438D" w:rsidRDefault="00AD2191" w:rsidP="00AD2191">
      <w:pPr>
        <w:pStyle w:val="Heading2"/>
        <w:numPr>
          <w:ilvl w:val="0"/>
          <w:numId w:val="9"/>
        </w:numPr>
        <w:rPr>
          <w:rFonts w:ascii="Century Gothic" w:eastAsiaTheme="minorHAnsi" w:hAnsi="Century Gothic" w:cstheme="minorHAnsi"/>
          <w:b w:val="0"/>
          <w:color w:val="auto"/>
          <w:sz w:val="22"/>
          <w:szCs w:val="22"/>
        </w:rPr>
      </w:pPr>
      <w:r w:rsidRPr="00A1438D">
        <w:rPr>
          <w:rFonts w:ascii="Century Gothic" w:eastAsiaTheme="minorHAnsi" w:hAnsi="Century Gothic" w:cstheme="minorHAnsi"/>
          <w:b w:val="0"/>
          <w:color w:val="auto"/>
          <w:sz w:val="22"/>
          <w:szCs w:val="22"/>
        </w:rPr>
        <w:t xml:space="preserve">Community value for every $1 of income based on </w:t>
      </w:r>
      <w:r w:rsidR="00DA4987">
        <w:rPr>
          <w:rFonts w:ascii="Century Gothic" w:eastAsiaTheme="minorHAnsi" w:hAnsi="Century Gothic" w:cstheme="minorHAnsi"/>
          <w:bCs/>
          <w:color w:val="auto"/>
          <w:sz w:val="22"/>
          <w:szCs w:val="22"/>
        </w:rPr>
        <w:t>$176,556</w:t>
      </w:r>
      <w:r w:rsidRPr="00A1438D">
        <w:rPr>
          <w:rFonts w:ascii="Century Gothic" w:eastAsiaTheme="minorHAnsi" w:hAnsi="Century Gothic" w:cstheme="minorHAnsi"/>
          <w:b w:val="0"/>
          <w:color w:val="auto"/>
          <w:sz w:val="22"/>
          <w:szCs w:val="22"/>
        </w:rPr>
        <w:t xml:space="preserve"> annual income </w:t>
      </w:r>
    </w:p>
    <w:p w14:paraId="18D733B4" w14:textId="77777777" w:rsidR="00AD2191" w:rsidRPr="00A1438D" w:rsidRDefault="00AD2191" w:rsidP="00AD2191">
      <w:pPr>
        <w:pStyle w:val="Heading2"/>
        <w:numPr>
          <w:ilvl w:val="0"/>
          <w:numId w:val="9"/>
        </w:numPr>
        <w:rPr>
          <w:rFonts w:ascii="Century Gothic" w:eastAsiaTheme="minorHAnsi" w:hAnsi="Century Gothic" w:cstheme="minorHAnsi"/>
          <w:b w:val="0"/>
          <w:color w:val="auto"/>
          <w:sz w:val="22"/>
          <w:szCs w:val="22"/>
        </w:rPr>
      </w:pPr>
      <w:r w:rsidRPr="00A1438D">
        <w:rPr>
          <w:rFonts w:ascii="Century Gothic" w:eastAsiaTheme="minorHAnsi" w:hAnsi="Century Gothic" w:cstheme="minorHAnsi"/>
          <w:b w:val="0"/>
          <w:color w:val="auto"/>
          <w:sz w:val="22"/>
          <w:szCs w:val="22"/>
        </w:rPr>
        <w:t xml:space="preserve">Community value for every hour the Neighbourhood House is in use based on Neighbourhood House buildings in use for </w:t>
      </w:r>
      <w:r w:rsidR="00DA4987">
        <w:rPr>
          <w:rFonts w:ascii="Century Gothic" w:eastAsiaTheme="minorHAnsi" w:hAnsi="Century Gothic" w:cstheme="minorHAnsi"/>
          <w:bCs/>
          <w:color w:val="auto"/>
          <w:sz w:val="22"/>
          <w:szCs w:val="22"/>
        </w:rPr>
        <w:t>38</w:t>
      </w:r>
      <w:r w:rsidRPr="00A1438D">
        <w:rPr>
          <w:rFonts w:ascii="Century Gothic" w:eastAsiaTheme="minorHAnsi" w:hAnsi="Century Gothic" w:cstheme="minorHAnsi"/>
          <w:b w:val="0"/>
          <w:color w:val="auto"/>
          <w:sz w:val="22"/>
          <w:szCs w:val="22"/>
        </w:rPr>
        <w:t xml:space="preserve"> hrs per week </w:t>
      </w:r>
    </w:p>
    <w:p w14:paraId="12E731B2" w14:textId="77777777" w:rsidR="00AD2191" w:rsidRPr="00A1438D" w:rsidRDefault="00AD2191" w:rsidP="00AD2191">
      <w:pPr>
        <w:pStyle w:val="Default"/>
        <w:rPr>
          <w:rFonts w:ascii="Century Gothic" w:hAnsi="Century Gothic" w:cstheme="minorHAnsi"/>
          <w:color w:val="auto"/>
          <w:sz w:val="22"/>
          <w:szCs w:val="22"/>
        </w:rPr>
      </w:pPr>
    </w:p>
    <w:p w14:paraId="4A6A4112" w14:textId="77777777" w:rsidR="00AD2191" w:rsidRPr="00A1438D" w:rsidRDefault="00AD2191" w:rsidP="00AD2191">
      <w:pPr>
        <w:pStyle w:val="Default"/>
        <w:rPr>
          <w:rFonts w:ascii="Century Gothic" w:hAnsi="Century Gothic" w:cstheme="minorHAnsi"/>
          <w:b/>
          <w:bCs/>
          <w:color w:val="auto"/>
          <w:sz w:val="22"/>
          <w:szCs w:val="22"/>
        </w:rPr>
      </w:pPr>
      <w:r w:rsidRPr="00A1438D">
        <w:rPr>
          <w:rFonts w:ascii="Century Gothic" w:hAnsi="Century Gothic" w:cstheme="minorHAnsi"/>
          <w:color w:val="auto"/>
          <w:sz w:val="22"/>
          <w:szCs w:val="22"/>
        </w:rPr>
        <w:t xml:space="preserve">Direct and indirect full-time equivalent employment positions created based on </w:t>
      </w:r>
      <w:r w:rsidR="00DA4987">
        <w:rPr>
          <w:rFonts w:ascii="Century Gothic" w:hAnsi="Century Gothic" w:cstheme="minorHAnsi"/>
          <w:b/>
          <w:bCs/>
          <w:color w:val="auto"/>
          <w:sz w:val="22"/>
          <w:szCs w:val="22"/>
        </w:rPr>
        <w:t>69</w:t>
      </w:r>
      <w:r w:rsidRPr="00A1438D">
        <w:rPr>
          <w:rFonts w:ascii="Century Gothic" w:hAnsi="Century Gothic" w:cstheme="minorHAnsi"/>
          <w:color w:val="auto"/>
          <w:sz w:val="22"/>
          <w:szCs w:val="22"/>
        </w:rPr>
        <w:t xml:space="preserve"> hrs total weekly paid hours of employment. </w:t>
      </w:r>
    </w:p>
    <w:p w14:paraId="694F2D59" w14:textId="77777777" w:rsidR="00AD2191" w:rsidRDefault="00AD2191" w:rsidP="00AD2191">
      <w:pPr>
        <w:pStyle w:val="Default"/>
        <w:rPr>
          <w:rFonts w:ascii="Century Gothic" w:hAnsi="Century Gothic" w:cs="Century Gothic"/>
          <w:color w:val="auto"/>
          <w:sz w:val="23"/>
          <w:szCs w:val="23"/>
        </w:rPr>
      </w:pPr>
    </w:p>
    <w:p w14:paraId="1D8B990F" w14:textId="77777777" w:rsidR="00A1438D" w:rsidRPr="00EE7A24" w:rsidRDefault="00A1438D" w:rsidP="00A1438D">
      <w:pPr>
        <w:pStyle w:val="Heading2"/>
        <w:rPr>
          <w:rFonts w:ascii="Century Gothic" w:hAnsi="Century Gothic"/>
        </w:rPr>
      </w:pPr>
      <w:r w:rsidRPr="00EE7A24">
        <w:rPr>
          <w:rFonts w:ascii="Century Gothic" w:hAnsi="Century Gothic"/>
        </w:rPr>
        <w:t>Notes</w:t>
      </w:r>
    </w:p>
    <w:p w14:paraId="0F7B933E"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We use the term ‘community value’ because the valuations above incorporate a range of methods depending on the available evidence. These include methods such as social return on investment (SROI), return on investment (ROI) and replacement cost. </w:t>
      </w:r>
    </w:p>
    <w:p w14:paraId="12CC6D3F" w14:textId="77777777" w:rsidR="00A1438D" w:rsidRPr="00EE7A24" w:rsidRDefault="00A1438D" w:rsidP="00A1438D">
      <w:pPr>
        <w:pStyle w:val="Default"/>
        <w:rPr>
          <w:rFonts w:ascii="Century Gothic" w:hAnsi="Century Gothic" w:cstheme="minorHAnsi"/>
          <w:color w:val="auto"/>
          <w:sz w:val="22"/>
          <w:szCs w:val="22"/>
        </w:rPr>
      </w:pPr>
    </w:p>
    <w:p w14:paraId="4787B472"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All valuations are conservative and based on existing research by reputable organisations using widely used and/or well documented methods as well as benchmarked market values for replacement cost valuations.</w:t>
      </w:r>
    </w:p>
    <w:p w14:paraId="3C2259D9" w14:textId="77777777" w:rsidR="00A1438D" w:rsidRPr="00EE7A24" w:rsidRDefault="00A1438D" w:rsidP="00A1438D">
      <w:pPr>
        <w:pStyle w:val="Default"/>
        <w:rPr>
          <w:rFonts w:ascii="Century Gothic" w:hAnsi="Century Gothic" w:cstheme="minorHAnsi"/>
          <w:color w:val="auto"/>
          <w:sz w:val="22"/>
          <w:szCs w:val="22"/>
        </w:rPr>
      </w:pPr>
    </w:p>
    <w:p w14:paraId="0CDDAAE8"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lastRenderedPageBreak/>
        <w:t xml:space="preserve">The report does not include many community benefits that are not within the scope of the Neighbourhood House Annual Survey to reasonably value including: </w:t>
      </w:r>
    </w:p>
    <w:p w14:paraId="2EF24E4A" w14:textId="77777777" w:rsidR="00A1438D" w:rsidRPr="00EE7A24" w:rsidRDefault="00A1438D" w:rsidP="00A1438D">
      <w:pPr>
        <w:pStyle w:val="Default"/>
        <w:rPr>
          <w:rFonts w:ascii="Century Gothic" w:hAnsi="Century Gothic" w:cstheme="minorHAnsi"/>
          <w:color w:val="auto"/>
          <w:sz w:val="22"/>
          <w:szCs w:val="22"/>
        </w:rPr>
      </w:pPr>
    </w:p>
    <w:p w14:paraId="20B235B7" w14:textId="77777777" w:rsidR="00A1438D" w:rsidRPr="00EE7A24" w:rsidRDefault="00A1438D" w:rsidP="00A1438D">
      <w:pPr>
        <w:pStyle w:val="Default"/>
        <w:numPr>
          <w:ilvl w:val="0"/>
          <w:numId w:val="7"/>
        </w:numPr>
        <w:autoSpaceDE w:val="0"/>
        <w:autoSpaceDN w:val="0"/>
        <w:adjustRightInd w:val="0"/>
        <w:spacing w:line="240" w:lineRule="auto"/>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all services and activities not listed above or their flow on economic or social benefits (except social connection) including hobby courses, exercise classes, referral, counselling or social support, community transport etc </w:t>
      </w:r>
    </w:p>
    <w:p w14:paraId="6FC3763C" w14:textId="77777777" w:rsidR="00A1438D" w:rsidRPr="00EE7A24" w:rsidRDefault="00A1438D" w:rsidP="00A1438D">
      <w:pPr>
        <w:pStyle w:val="Default"/>
        <w:numPr>
          <w:ilvl w:val="0"/>
          <w:numId w:val="7"/>
        </w:numPr>
        <w:autoSpaceDE w:val="0"/>
        <w:autoSpaceDN w:val="0"/>
        <w:adjustRightInd w:val="0"/>
        <w:spacing w:line="240" w:lineRule="auto"/>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agencies or brokered in services such as Centrelink, maternal child and health etc. </w:t>
      </w:r>
    </w:p>
    <w:p w14:paraId="389BC3F3" w14:textId="77777777" w:rsidR="00A1438D" w:rsidRPr="00EE7A24" w:rsidRDefault="00A1438D" w:rsidP="00A1438D">
      <w:pPr>
        <w:pStyle w:val="Default"/>
        <w:numPr>
          <w:ilvl w:val="0"/>
          <w:numId w:val="7"/>
        </w:numPr>
        <w:autoSpaceDE w:val="0"/>
        <w:autoSpaceDN w:val="0"/>
        <w:adjustRightInd w:val="0"/>
        <w:spacing w:line="240" w:lineRule="auto"/>
        <w:rPr>
          <w:rFonts w:ascii="Century Gothic" w:hAnsi="Century Gothic" w:cstheme="minorHAnsi"/>
          <w:color w:val="auto"/>
          <w:sz w:val="22"/>
          <w:szCs w:val="22"/>
        </w:rPr>
      </w:pPr>
      <w:r w:rsidRPr="00EE7A24">
        <w:rPr>
          <w:rFonts w:ascii="Century Gothic" w:hAnsi="Century Gothic" w:cstheme="minorHAnsi"/>
          <w:color w:val="auto"/>
          <w:sz w:val="22"/>
          <w:szCs w:val="22"/>
        </w:rPr>
        <w:t>social enterprises or the economic multipliers from indirect or induced economic activity</w:t>
      </w:r>
    </w:p>
    <w:p w14:paraId="4AB90756" w14:textId="77777777" w:rsidR="00A1438D" w:rsidRPr="00EE7A24" w:rsidRDefault="00A1438D" w:rsidP="00A1438D">
      <w:pPr>
        <w:pStyle w:val="Default"/>
        <w:numPr>
          <w:ilvl w:val="0"/>
          <w:numId w:val="7"/>
        </w:numPr>
        <w:autoSpaceDE w:val="0"/>
        <w:autoSpaceDN w:val="0"/>
        <w:adjustRightInd w:val="0"/>
        <w:spacing w:line="240" w:lineRule="auto"/>
        <w:rPr>
          <w:rFonts w:ascii="Century Gothic" w:hAnsi="Century Gothic" w:cstheme="minorHAnsi"/>
          <w:color w:val="auto"/>
          <w:sz w:val="22"/>
          <w:szCs w:val="22"/>
        </w:rPr>
      </w:pPr>
      <w:r w:rsidRPr="00EE7A24">
        <w:rPr>
          <w:rFonts w:ascii="Century Gothic" w:hAnsi="Century Gothic" w:cstheme="minorHAnsi"/>
          <w:color w:val="auto"/>
          <w:sz w:val="22"/>
          <w:szCs w:val="22"/>
        </w:rPr>
        <w:t>intangible benefits such as community pride and sense of belonging, leadership development, community voice through advocacy, increased personal independence etc.</w:t>
      </w:r>
    </w:p>
    <w:p w14:paraId="375B41B7" w14:textId="77777777" w:rsidR="00A1438D" w:rsidRPr="00EE7A24" w:rsidRDefault="00A1438D" w:rsidP="00A1438D">
      <w:pPr>
        <w:pStyle w:val="Default"/>
        <w:ind w:left="360"/>
        <w:rPr>
          <w:rFonts w:ascii="Century Gothic" w:hAnsi="Century Gothic" w:cstheme="minorHAnsi"/>
          <w:color w:val="auto"/>
          <w:sz w:val="22"/>
          <w:szCs w:val="22"/>
        </w:rPr>
      </w:pPr>
    </w:p>
    <w:p w14:paraId="42F4CA4B"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The total community benefit is significantly greater than what has been valued here.</w:t>
      </w:r>
    </w:p>
    <w:p w14:paraId="44017DA8" w14:textId="77777777" w:rsidR="00A1438D" w:rsidRPr="00EE7A24" w:rsidRDefault="00A1438D" w:rsidP="00A1438D">
      <w:pPr>
        <w:pStyle w:val="Default"/>
        <w:rPr>
          <w:rFonts w:ascii="Century Gothic" w:hAnsi="Century Gothic" w:cs="Century Gothic"/>
          <w:color w:val="auto"/>
          <w:sz w:val="23"/>
          <w:szCs w:val="23"/>
        </w:rPr>
      </w:pPr>
    </w:p>
    <w:p w14:paraId="083E6AC7"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These valuations are based on volume of activity, so the outcomes are affected by income and population size with Neighbourhood Houses in localities with smaller populations generally expected to generate lower total community value. Variations in organisations and communities make these measures unsuitable for comparisons between Neighbourhood Houses. </w:t>
      </w:r>
    </w:p>
    <w:p w14:paraId="5D93187A" w14:textId="77777777" w:rsidR="00A1438D" w:rsidRPr="00EE7A24" w:rsidRDefault="00A1438D" w:rsidP="00A1438D">
      <w:pPr>
        <w:pStyle w:val="Heading1"/>
        <w:rPr>
          <w:rFonts w:ascii="Century Gothic" w:hAnsi="Century Gothic"/>
        </w:rPr>
      </w:pPr>
      <w:r w:rsidRPr="00EE7A24">
        <w:rPr>
          <w:rFonts w:ascii="Century Gothic" w:hAnsi="Century Gothic"/>
        </w:rPr>
        <w:t>Calculation methods</w:t>
      </w:r>
    </w:p>
    <w:p w14:paraId="6F1EE565" w14:textId="77777777" w:rsidR="00A1438D" w:rsidRPr="00EE7A24" w:rsidRDefault="00A1438D" w:rsidP="00A1438D">
      <w:pPr>
        <w:pStyle w:val="Heading2"/>
        <w:rPr>
          <w:rFonts w:ascii="Century Gothic" w:hAnsi="Century Gothic"/>
        </w:rPr>
      </w:pPr>
      <w:r w:rsidRPr="00EE7A24">
        <w:rPr>
          <w:rFonts w:ascii="Century Gothic" w:hAnsi="Century Gothic"/>
        </w:rPr>
        <w:t>Social Connection</w:t>
      </w:r>
    </w:p>
    <w:p w14:paraId="0F53552C"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In 2018, Deloitte Access Economics produced a report</w:t>
      </w:r>
      <w:r w:rsidRPr="00EE7A24">
        <w:rPr>
          <w:rStyle w:val="FootnoteReference"/>
          <w:rFonts w:ascii="Century Gothic" w:eastAsiaTheme="majorEastAsia" w:hAnsi="Century Gothic" w:cstheme="minorHAnsi"/>
          <w:color w:val="auto"/>
          <w:sz w:val="22"/>
          <w:szCs w:val="22"/>
        </w:rPr>
        <w:footnoteReference w:id="1"/>
      </w:r>
      <w:r w:rsidRPr="00EE7A24">
        <w:rPr>
          <w:rFonts w:ascii="Century Gothic" w:hAnsi="Century Gothic" w:cstheme="minorHAnsi"/>
          <w:color w:val="auto"/>
          <w:sz w:val="22"/>
          <w:szCs w:val="22"/>
        </w:rPr>
        <w:t xml:space="preserve"> that determined a monetary value for the community connection work of Morwell Neighbourhood House. The method, detailed in the report, uses existing research to calculate the contribution of community connection to a Quality-Adjusted-Life-Years (QALYs)</w:t>
      </w:r>
      <w:r w:rsidRPr="00EE7A24">
        <w:rPr>
          <w:rStyle w:val="FootnoteReference"/>
          <w:rFonts w:ascii="Century Gothic" w:eastAsiaTheme="majorEastAsia" w:hAnsi="Century Gothic" w:cstheme="minorHAnsi"/>
          <w:color w:val="auto"/>
          <w:sz w:val="22"/>
          <w:szCs w:val="22"/>
        </w:rPr>
        <w:footnoteReference w:id="2"/>
      </w:r>
      <w:r w:rsidRPr="00EE7A24">
        <w:rPr>
          <w:rFonts w:ascii="Century Gothic" w:hAnsi="Century Gothic" w:cstheme="minorHAnsi"/>
          <w:color w:val="auto"/>
          <w:sz w:val="22"/>
          <w:szCs w:val="22"/>
        </w:rPr>
        <w:t>. Quality-Adjusted-Life-Years is the most widely used approach for estimating quality of life benefits in economic evaluations</w:t>
      </w:r>
      <w:r w:rsidRPr="00EE7A24">
        <w:rPr>
          <w:rStyle w:val="FootnoteReference"/>
          <w:rFonts w:ascii="Century Gothic" w:eastAsiaTheme="majorEastAsia" w:hAnsi="Century Gothic" w:cstheme="minorHAnsi"/>
          <w:color w:val="auto"/>
          <w:sz w:val="22"/>
          <w:szCs w:val="22"/>
        </w:rPr>
        <w:footnoteReference w:id="3"/>
      </w:r>
      <w:r w:rsidRPr="00EE7A24">
        <w:rPr>
          <w:rFonts w:ascii="Century Gothic" w:hAnsi="Century Gothic" w:cstheme="minorHAnsi"/>
          <w:color w:val="auto"/>
          <w:sz w:val="22"/>
          <w:szCs w:val="22"/>
        </w:rPr>
        <w:t>.</w:t>
      </w:r>
    </w:p>
    <w:p w14:paraId="0AF727AB" w14:textId="77777777" w:rsidR="00A1438D" w:rsidRPr="00EE7A24" w:rsidRDefault="00A1438D" w:rsidP="00A1438D">
      <w:pPr>
        <w:pStyle w:val="Default"/>
        <w:rPr>
          <w:rFonts w:ascii="Century Gothic" w:hAnsi="Century Gothic" w:cstheme="minorHAnsi"/>
          <w:color w:val="auto"/>
          <w:sz w:val="22"/>
          <w:szCs w:val="22"/>
        </w:rPr>
      </w:pPr>
    </w:p>
    <w:p w14:paraId="46B984D1"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The report assumed that 50% of the annual unique visitors to the neighbourhood house were one off or infrequent for the purpose of their calculations. Appendix C of their report outlines the detail on their method. </w:t>
      </w:r>
    </w:p>
    <w:p w14:paraId="56291A85" w14:textId="77777777" w:rsidR="00A1438D" w:rsidRPr="00EE7A24" w:rsidRDefault="00A1438D" w:rsidP="00A1438D">
      <w:pPr>
        <w:pStyle w:val="Default"/>
        <w:rPr>
          <w:rFonts w:ascii="Century Gothic" w:hAnsi="Century Gothic" w:cstheme="minorHAnsi"/>
          <w:color w:val="auto"/>
          <w:sz w:val="22"/>
          <w:szCs w:val="22"/>
        </w:rPr>
      </w:pPr>
    </w:p>
    <w:p w14:paraId="01EB3CEF"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Because programmed activities are group activities run over a period of time and therefore not attended in a one-off or infrequent way, using the number of participants per week in programmed activities figure from the Neighbourhood House survey allows for a conservative calculation of the numbers of visitors potentially obtaining social connection benefits. </w:t>
      </w:r>
    </w:p>
    <w:p w14:paraId="388D3D6B" w14:textId="77777777" w:rsidR="00A1438D" w:rsidRPr="00EE7A24" w:rsidRDefault="00A1438D" w:rsidP="00A1438D">
      <w:pPr>
        <w:pStyle w:val="Default"/>
        <w:rPr>
          <w:rFonts w:ascii="Century Gothic" w:hAnsi="Century Gothic" w:cstheme="minorHAnsi"/>
          <w:color w:val="auto"/>
          <w:sz w:val="22"/>
          <w:szCs w:val="22"/>
        </w:rPr>
      </w:pPr>
    </w:p>
    <w:p w14:paraId="1D7A0C3D"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The number of weekly participants in programmed activity is multiplied by the percentage of participants that identified “meeting new people/making friends” and/or “spending time with others” as benefits of attending their neighbourhood house based on each Neighbourhood House’s 2017 Participants Survey</w:t>
      </w:r>
      <w:r w:rsidRPr="00EE7A24">
        <w:rPr>
          <w:rStyle w:val="FootnoteReference"/>
          <w:rFonts w:ascii="Century Gothic" w:eastAsiaTheme="majorEastAsia" w:hAnsi="Century Gothic" w:cstheme="minorHAnsi"/>
          <w:color w:val="auto"/>
          <w:sz w:val="22"/>
          <w:szCs w:val="22"/>
        </w:rPr>
        <w:footnoteReference w:id="4"/>
      </w:r>
      <w:r w:rsidRPr="00EE7A24">
        <w:rPr>
          <w:rFonts w:ascii="Century Gothic" w:hAnsi="Century Gothic" w:cstheme="minorHAnsi"/>
          <w:color w:val="auto"/>
          <w:sz w:val="22"/>
          <w:szCs w:val="22"/>
        </w:rPr>
        <w:t xml:space="preserve">. These two reported benefits are used in the Deloitte calculations and are most strongly associated with participants who identified attending for various programmed activities including, social and support groups, job training and support and other courses and classes. </w:t>
      </w:r>
    </w:p>
    <w:p w14:paraId="6E344CE2" w14:textId="77777777" w:rsidR="00A1438D" w:rsidRPr="00EE7A24" w:rsidRDefault="00A1438D" w:rsidP="00A1438D">
      <w:pPr>
        <w:pStyle w:val="Default"/>
        <w:rPr>
          <w:rFonts w:ascii="Century Gothic" w:hAnsi="Century Gothic" w:cstheme="minorHAnsi"/>
          <w:color w:val="auto"/>
          <w:sz w:val="22"/>
          <w:szCs w:val="22"/>
        </w:rPr>
      </w:pPr>
    </w:p>
    <w:p w14:paraId="67767A4D"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The $ Values are expressed in 2019 equivalents i.e. CPI adjusted Quality Adjusted Life Year value of $195,177, which is consistent with Deloitte’s method. </w:t>
      </w:r>
    </w:p>
    <w:p w14:paraId="473ED415" w14:textId="77777777" w:rsidR="00A1438D" w:rsidRPr="00EE7A24" w:rsidRDefault="00A1438D" w:rsidP="00A1438D">
      <w:pPr>
        <w:pStyle w:val="Default"/>
        <w:rPr>
          <w:rFonts w:ascii="Century Gothic" w:hAnsi="Century Gothic" w:cstheme="minorHAnsi"/>
          <w:color w:val="auto"/>
          <w:sz w:val="22"/>
          <w:szCs w:val="22"/>
        </w:rPr>
      </w:pPr>
    </w:p>
    <w:p w14:paraId="505B09FC"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The value of your Neighbourhood Houses increased social connection is calculated using this formula:</w:t>
      </w:r>
    </w:p>
    <w:p w14:paraId="4F9AF903" w14:textId="77777777" w:rsidR="00A1438D" w:rsidRPr="00EE7A24" w:rsidRDefault="00A1438D" w:rsidP="00A1438D">
      <w:pPr>
        <w:pStyle w:val="Default"/>
        <w:rPr>
          <w:rFonts w:ascii="Century Gothic" w:hAnsi="Century Gothic" w:cstheme="minorHAnsi"/>
          <w:color w:val="auto"/>
          <w:sz w:val="22"/>
          <w:szCs w:val="22"/>
        </w:rPr>
      </w:pPr>
    </w:p>
    <w:p w14:paraId="074FDA96" w14:textId="77777777" w:rsidR="00A1438D" w:rsidRPr="00810DF5" w:rsidRDefault="00A1438D" w:rsidP="00A1438D">
      <w:pPr>
        <w:pStyle w:val="Default"/>
        <w:rPr>
          <w:rFonts w:ascii="Century Gothic" w:hAnsi="Century Gothic" w:cstheme="minorHAnsi"/>
          <w:b/>
          <w:bCs/>
          <w:color w:val="auto"/>
          <w:sz w:val="22"/>
          <w:szCs w:val="22"/>
        </w:rPr>
      </w:pPr>
      <w:r w:rsidRPr="00810DF5">
        <w:rPr>
          <w:rFonts w:ascii="Century Gothic" w:hAnsi="Century Gothic" w:cstheme="minorHAnsi"/>
          <w:b/>
          <w:bCs/>
          <w:color w:val="auto"/>
          <w:sz w:val="22"/>
          <w:szCs w:val="22"/>
        </w:rPr>
        <w:t xml:space="preserve">Number of participants in activities X 1 QALY ($195,177) X percentage of people identifying a social connection benefit X contribution of social connection to a QUALY (3.84%) X the extent to which contribution of social connection to a QUALY can be attributed to attending the Neighbourhood House (28.57%). </w:t>
      </w:r>
    </w:p>
    <w:p w14:paraId="1D814E96" w14:textId="77777777" w:rsidR="00A1438D" w:rsidRPr="00EE7A24" w:rsidRDefault="00A1438D" w:rsidP="00A1438D">
      <w:pPr>
        <w:pStyle w:val="Default"/>
        <w:rPr>
          <w:rFonts w:ascii="Century Gothic" w:hAnsi="Century Gothic" w:cstheme="minorHAnsi"/>
          <w:color w:val="auto"/>
          <w:sz w:val="22"/>
          <w:szCs w:val="22"/>
        </w:rPr>
      </w:pPr>
    </w:p>
    <w:p w14:paraId="04B09CC6"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 xml:space="preserve">The use of the participants in programmed activities as the basis for the calculation is conservative as it uses a typical weekly attendance figure. The actual total number of participants in programmed activities over a year will be greater as new people participate in activities over the course of a year. In addition, it does not include volunteers, 62% of whom report a social connection/participation benefit state-wide, nor does it include regular informal attendance i.e. drop ins where relationships are also built and maintained. </w:t>
      </w:r>
    </w:p>
    <w:p w14:paraId="067B07F6" w14:textId="77777777" w:rsidR="00A1438D" w:rsidRPr="00EE7A24" w:rsidRDefault="00A1438D" w:rsidP="00A1438D">
      <w:pPr>
        <w:pStyle w:val="Default"/>
        <w:rPr>
          <w:rFonts w:ascii="Century Gothic" w:hAnsi="Century Gothic" w:cstheme="minorHAnsi"/>
          <w:color w:val="auto"/>
          <w:sz w:val="22"/>
          <w:szCs w:val="22"/>
        </w:rPr>
      </w:pPr>
    </w:p>
    <w:p w14:paraId="38ED2C67" w14:textId="77777777" w:rsidR="00A1438D" w:rsidRPr="00EE7A24" w:rsidRDefault="00A1438D" w:rsidP="00A1438D">
      <w:pPr>
        <w:pStyle w:val="Default"/>
        <w:rPr>
          <w:rFonts w:ascii="Century Gothic" w:hAnsi="Century Gothic" w:cstheme="minorHAnsi"/>
          <w:color w:val="auto"/>
          <w:sz w:val="22"/>
          <w:szCs w:val="22"/>
        </w:rPr>
      </w:pPr>
      <w:r w:rsidRPr="00EE7A24">
        <w:rPr>
          <w:rFonts w:ascii="Century Gothic" w:hAnsi="Century Gothic" w:cstheme="minorHAnsi"/>
          <w:color w:val="auto"/>
          <w:sz w:val="22"/>
          <w:szCs w:val="22"/>
        </w:rPr>
        <w:t>Deloitte further calculate the value of increased connection through increased participation in the broader community due to participation at the Neighbourhood House using the formula above for 10% of the participants.</w:t>
      </w:r>
    </w:p>
    <w:p w14:paraId="7DCD428E" w14:textId="77777777" w:rsidR="00A1438D" w:rsidRPr="00EE7A24" w:rsidRDefault="00A1438D" w:rsidP="00A1438D">
      <w:pPr>
        <w:pStyle w:val="Heading2"/>
        <w:rPr>
          <w:rFonts w:ascii="Century Gothic" w:hAnsi="Century Gothic"/>
        </w:rPr>
      </w:pPr>
      <w:r w:rsidRPr="00EE7A24">
        <w:rPr>
          <w:rFonts w:ascii="Century Gothic" w:hAnsi="Century Gothic"/>
        </w:rPr>
        <w:t>Volunteering</w:t>
      </w:r>
    </w:p>
    <w:p w14:paraId="467F4B4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Volunteering value is based on the replacement cost of volunteers’ labour. This is valued at $42.99 per hour. This is based on the method recommended by Our Community</w:t>
      </w:r>
      <w:r w:rsidRPr="00EE7A24">
        <w:rPr>
          <w:rStyle w:val="FootnoteReference"/>
          <w:rFonts w:ascii="Century Gothic" w:eastAsiaTheme="majorEastAsia" w:hAnsi="Century Gothic"/>
          <w:sz w:val="22"/>
          <w:szCs w:val="22"/>
        </w:rPr>
        <w:footnoteReference w:id="5"/>
      </w:r>
      <w:r w:rsidRPr="00EE7A24">
        <w:rPr>
          <w:rFonts w:ascii="Century Gothic" w:hAnsi="Century Gothic"/>
          <w:sz w:val="22"/>
          <w:szCs w:val="22"/>
        </w:rPr>
        <w:t xml:space="preserve"> which uses the ABS average weekly earnings per hour as of May 2019</w:t>
      </w:r>
      <w:r w:rsidRPr="00EE7A24">
        <w:rPr>
          <w:rStyle w:val="FootnoteReference"/>
          <w:rFonts w:ascii="Century Gothic" w:eastAsiaTheme="majorEastAsia" w:hAnsi="Century Gothic"/>
          <w:sz w:val="22"/>
          <w:szCs w:val="22"/>
        </w:rPr>
        <w:footnoteReference w:id="6"/>
      </w:r>
      <w:r w:rsidRPr="00EE7A24">
        <w:rPr>
          <w:rFonts w:ascii="Century Gothic" w:hAnsi="Century Gothic"/>
          <w:sz w:val="22"/>
          <w:szCs w:val="22"/>
        </w:rPr>
        <w:t>.</w:t>
      </w:r>
    </w:p>
    <w:p w14:paraId="1C78C3C8"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for calculating the community value of volunteering is:</w:t>
      </w:r>
    </w:p>
    <w:p w14:paraId="5FFB9E54"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Number of volunteer hours per week X weeks open per year X volunteer hourly replacement rate</w:t>
      </w:r>
    </w:p>
    <w:p w14:paraId="52F5F214" w14:textId="77777777" w:rsidR="00A1438D" w:rsidRPr="00EE7A24" w:rsidRDefault="00A1438D" w:rsidP="00A1438D">
      <w:pPr>
        <w:rPr>
          <w:rFonts w:ascii="Century Gothic" w:hAnsi="Century Gothic"/>
        </w:rPr>
      </w:pPr>
      <w:r w:rsidRPr="00EE7A24">
        <w:rPr>
          <w:rFonts w:ascii="Century Gothic" w:hAnsi="Century Gothic"/>
          <w:sz w:val="22"/>
          <w:szCs w:val="22"/>
        </w:rPr>
        <w:t>This is a conservative valuation. For example, it does not include the value of the services provided as a result of volunteering or the contribution to the economy and taxation from participating in volunteering, e.g. cost of travel to the place of volunteering</w:t>
      </w:r>
      <w:r w:rsidRPr="00EE7A24">
        <w:rPr>
          <w:rFonts w:ascii="Century Gothic" w:hAnsi="Century Gothic"/>
        </w:rPr>
        <w:t xml:space="preserve">. </w:t>
      </w:r>
    </w:p>
    <w:p w14:paraId="4054C2E1" w14:textId="77777777" w:rsidR="00A1438D" w:rsidRPr="00EE7A24" w:rsidRDefault="00A1438D" w:rsidP="00A1438D">
      <w:pPr>
        <w:pStyle w:val="Heading2"/>
        <w:rPr>
          <w:rFonts w:ascii="Century Gothic" w:hAnsi="Century Gothic"/>
        </w:rPr>
      </w:pPr>
      <w:r w:rsidRPr="00EE7A24">
        <w:rPr>
          <w:rFonts w:ascii="Century Gothic" w:hAnsi="Century Gothic"/>
        </w:rPr>
        <w:t>Emergency relief</w:t>
      </w:r>
    </w:p>
    <w:p w14:paraId="0EC514DF" w14:textId="77777777" w:rsidR="00A1438D" w:rsidRPr="00EE7A24" w:rsidRDefault="00A1438D" w:rsidP="00A1438D">
      <w:pPr>
        <w:pStyle w:val="Heading3"/>
        <w:rPr>
          <w:rFonts w:ascii="Century Gothic" w:hAnsi="Century Gothic"/>
        </w:rPr>
      </w:pPr>
      <w:r w:rsidRPr="00EE7A24">
        <w:rPr>
          <w:rFonts w:ascii="Century Gothic" w:hAnsi="Century Gothic"/>
        </w:rPr>
        <w:t>Food and groceries</w:t>
      </w:r>
    </w:p>
    <w:p w14:paraId="39BE6E67"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value to community of emergency food relief is based on work undertaken by Foodbank in Australia</w:t>
      </w:r>
      <w:r w:rsidRPr="00EE7A24">
        <w:rPr>
          <w:rStyle w:val="FootnoteReference"/>
          <w:rFonts w:ascii="Century Gothic" w:eastAsiaTheme="majorEastAsia" w:hAnsi="Century Gothic"/>
          <w:sz w:val="22"/>
          <w:szCs w:val="22"/>
        </w:rPr>
        <w:footnoteReference w:id="7"/>
      </w:r>
      <w:r w:rsidRPr="00EE7A24">
        <w:rPr>
          <w:rFonts w:ascii="Century Gothic" w:hAnsi="Century Gothic"/>
          <w:sz w:val="22"/>
          <w:szCs w:val="22"/>
        </w:rPr>
        <w:t>. Their social return on investment analysis determined that food relief was valued at an average $20.05 per kilogram of food in 2014 dollars. This valuation included the value of:</w:t>
      </w:r>
    </w:p>
    <w:p w14:paraId="599E3285"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Improved physical health (children)</w:t>
      </w:r>
    </w:p>
    <w:p w14:paraId="2504EEA3"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Better performance at school (students)</w:t>
      </w:r>
    </w:p>
    <w:p w14:paraId="4943A048"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 xml:space="preserve">Better social relationships </w:t>
      </w:r>
    </w:p>
    <w:p w14:paraId="4268C56B"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Increased sense of self-worth</w:t>
      </w:r>
    </w:p>
    <w:p w14:paraId="486A7CDA"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Improved standard of living</w:t>
      </w:r>
    </w:p>
    <w:p w14:paraId="38448F03"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Improved physical health</w:t>
      </w:r>
    </w:p>
    <w:p w14:paraId="392F3B6F"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Increased emotional wellbeing</w:t>
      </w:r>
    </w:p>
    <w:p w14:paraId="6407E6E4"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Reduced waste and greenhouse emissions</w:t>
      </w:r>
    </w:p>
    <w:p w14:paraId="1E31A34E" w14:textId="77777777" w:rsidR="00A1438D" w:rsidRPr="00EE7A24" w:rsidRDefault="00A1438D" w:rsidP="00A1438D">
      <w:pPr>
        <w:spacing w:after="0"/>
        <w:rPr>
          <w:rFonts w:ascii="Century Gothic" w:hAnsi="Century Gothic"/>
          <w:sz w:val="22"/>
          <w:szCs w:val="22"/>
        </w:rPr>
      </w:pPr>
    </w:p>
    <w:p w14:paraId="71529F14"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While the cost of food has increased since 2014, the change in value of the social benefits is unclear. For this reason, we have retained the $20.05 figure making this a conservative evaluation.</w:t>
      </w:r>
    </w:p>
    <w:p w14:paraId="09ADC7D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lastRenderedPageBreak/>
        <w:t>The formula for calculating the community value of food and groceries is:</w:t>
      </w:r>
    </w:p>
    <w:p w14:paraId="6AD93E07"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Number of Kgs distributed for an average month X 12 (months) X $20.05</w:t>
      </w:r>
    </w:p>
    <w:p w14:paraId="2B2D7D18" w14:textId="77777777" w:rsidR="00A1438D" w:rsidRPr="00EE7A24" w:rsidRDefault="00A1438D" w:rsidP="00A1438D">
      <w:pPr>
        <w:pStyle w:val="Heading3"/>
        <w:rPr>
          <w:rFonts w:ascii="Century Gothic" w:hAnsi="Century Gothic"/>
        </w:rPr>
      </w:pPr>
      <w:r w:rsidRPr="00EE7A24">
        <w:rPr>
          <w:rFonts w:ascii="Century Gothic" w:hAnsi="Century Gothic"/>
        </w:rPr>
        <w:t>Food vouchers</w:t>
      </w:r>
    </w:p>
    <w:p w14:paraId="0B24C09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dollar value of vouchers given out. This is a conservative valuation as it does not include the benefit derived from accessing food such as improved health and wellbeing, improved school performance for children etc.</w:t>
      </w:r>
    </w:p>
    <w:p w14:paraId="1BFCFD2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for calculating the community value of food vouchers is:</w:t>
      </w:r>
    </w:p>
    <w:p w14:paraId="53899A83"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 value of food vouchers distributed in an average month X 12 (months)</w:t>
      </w:r>
    </w:p>
    <w:p w14:paraId="60F97465" w14:textId="77777777" w:rsidR="00A1438D" w:rsidRPr="00EE7A24" w:rsidRDefault="00A1438D" w:rsidP="00A1438D">
      <w:pPr>
        <w:pStyle w:val="Heading3"/>
        <w:rPr>
          <w:rFonts w:ascii="Century Gothic" w:hAnsi="Century Gothic"/>
        </w:rPr>
      </w:pPr>
      <w:r w:rsidRPr="00EE7A24">
        <w:rPr>
          <w:rFonts w:ascii="Century Gothic" w:hAnsi="Century Gothic"/>
        </w:rPr>
        <w:t>Cash/prepaid or gift cards</w:t>
      </w:r>
    </w:p>
    <w:p w14:paraId="5CF33A9B"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Based on the dollar value of </w:t>
      </w:r>
      <w:bookmarkStart w:id="3" w:name="_Hlk33015120"/>
      <w:r w:rsidRPr="00EE7A24">
        <w:rPr>
          <w:rFonts w:ascii="Century Gothic" w:hAnsi="Century Gothic"/>
          <w:sz w:val="22"/>
          <w:szCs w:val="22"/>
        </w:rPr>
        <w:t xml:space="preserve">cash or gift cards </w:t>
      </w:r>
      <w:bookmarkEnd w:id="3"/>
      <w:r w:rsidRPr="00EE7A24">
        <w:rPr>
          <w:rFonts w:ascii="Century Gothic" w:hAnsi="Century Gothic"/>
          <w:sz w:val="22"/>
          <w:szCs w:val="22"/>
        </w:rPr>
        <w:t>given out. This is a conservative valuation as it does not include the benefit derived from items purchased such as improved health and wellbeing, improved school performance for children, added value to the economy etc.</w:t>
      </w:r>
    </w:p>
    <w:p w14:paraId="7A1C2612"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cash/prepaid or gift cards is:</w:t>
      </w:r>
    </w:p>
    <w:p w14:paraId="24ED719C"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 value of cash/prepaid or gift cards distributed in an average month X 12 (months)</w:t>
      </w:r>
    </w:p>
    <w:p w14:paraId="442C24E5" w14:textId="77777777" w:rsidR="00A1438D" w:rsidRPr="00EE7A24" w:rsidRDefault="00A1438D" w:rsidP="00A1438D">
      <w:pPr>
        <w:pStyle w:val="Heading3"/>
        <w:rPr>
          <w:rFonts w:ascii="Century Gothic" w:hAnsi="Century Gothic"/>
        </w:rPr>
      </w:pPr>
      <w:r w:rsidRPr="00EE7A24">
        <w:rPr>
          <w:rFonts w:ascii="Century Gothic" w:hAnsi="Century Gothic"/>
        </w:rPr>
        <w:t>Fuel Vouchers</w:t>
      </w:r>
    </w:p>
    <w:p w14:paraId="6C903A02"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dollar value of vouchers given out. This is a conservative valuation as it does not include the benefit derived from increased access to transport or the alternative use of funds that would otherwise have been used for transport such as improved health and wellbeing, improved school performance for children etc. It also does not include benefits to the local economy.</w:t>
      </w:r>
    </w:p>
    <w:p w14:paraId="740E503D"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fuel vouchers is:</w:t>
      </w:r>
    </w:p>
    <w:p w14:paraId="64293B8E"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 value of fuel vouchers distributed in an average month X 12 (months)</w:t>
      </w:r>
    </w:p>
    <w:p w14:paraId="1CDE991E" w14:textId="77777777" w:rsidR="00A1438D" w:rsidRPr="00EE7A24" w:rsidRDefault="00A1438D" w:rsidP="00A1438D">
      <w:pPr>
        <w:pStyle w:val="Heading3"/>
        <w:rPr>
          <w:rFonts w:ascii="Century Gothic" w:hAnsi="Century Gothic"/>
        </w:rPr>
      </w:pPr>
      <w:r w:rsidRPr="00EE7A24">
        <w:rPr>
          <w:rFonts w:ascii="Century Gothic" w:hAnsi="Century Gothic"/>
        </w:rPr>
        <w:t>Bill payments</w:t>
      </w:r>
    </w:p>
    <w:p w14:paraId="22A4E845"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dollar value of bills paid by the Neighbourhood House for individuals in need. This is a conservative valuation as it does not include the benefit derived from increased access to services for which bills were paid or the alternative use of funds that would otherwise have been used for transport such as improved health and wellbeing, improved school performance for children etc. It also does not include benefits to the broader economy.</w:t>
      </w:r>
    </w:p>
    <w:p w14:paraId="2B6F66C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bill payments is:</w:t>
      </w:r>
    </w:p>
    <w:p w14:paraId="6BC68D3F"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 value of participants’ bills paid in an average month X 12 (months)</w:t>
      </w:r>
    </w:p>
    <w:p w14:paraId="3B25A97D" w14:textId="77777777" w:rsidR="00A1438D" w:rsidRPr="00EE7A24" w:rsidRDefault="00A1438D" w:rsidP="00A1438D">
      <w:pPr>
        <w:pStyle w:val="Heading3"/>
        <w:rPr>
          <w:rFonts w:ascii="Century Gothic" w:hAnsi="Century Gothic"/>
        </w:rPr>
      </w:pPr>
      <w:r w:rsidRPr="00EE7A24">
        <w:rPr>
          <w:rFonts w:ascii="Century Gothic" w:hAnsi="Century Gothic"/>
        </w:rPr>
        <w:t>Public transport cards</w:t>
      </w:r>
    </w:p>
    <w:p w14:paraId="2EE40723"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dollar value of public transport cards given out. This is a conservative valuation as it does not include the benefit derived from increased access to transport or the alternative use of funds that would otherwise have been used for transport such as improved health and wellbeing, improved school performance for children etc.</w:t>
      </w:r>
    </w:p>
    <w:p w14:paraId="7CF2A4AD"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public transport cards is:</w:t>
      </w:r>
    </w:p>
    <w:p w14:paraId="03A46E52"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 value of public transport cards distributed in an average month X 12 (months)</w:t>
      </w:r>
    </w:p>
    <w:p w14:paraId="562901CD" w14:textId="77777777" w:rsidR="00A1438D" w:rsidRPr="00EE7A24" w:rsidRDefault="00A1438D" w:rsidP="00A1438D">
      <w:pPr>
        <w:pStyle w:val="Heading2"/>
        <w:rPr>
          <w:rFonts w:ascii="Century Gothic" w:hAnsi="Century Gothic"/>
        </w:rPr>
      </w:pPr>
      <w:r w:rsidRPr="00EE7A24">
        <w:rPr>
          <w:rFonts w:ascii="Century Gothic" w:hAnsi="Century Gothic"/>
        </w:rPr>
        <w:t>Services</w:t>
      </w:r>
    </w:p>
    <w:p w14:paraId="7E36F048"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Except for school breakfast clubs, service valuations in this section do not include additional benefits from the service such as improved health, job prospects or employment nor the auspiced community groups’ outcomes. This is due to the absence of appropriate research that quantifies these benefits.</w:t>
      </w:r>
    </w:p>
    <w:p w14:paraId="1CAD000E" w14:textId="77777777" w:rsidR="00A1438D" w:rsidRPr="00EE7A24" w:rsidRDefault="00A1438D" w:rsidP="00A1438D">
      <w:pPr>
        <w:pStyle w:val="Heading3"/>
        <w:rPr>
          <w:rFonts w:ascii="Century Gothic" w:hAnsi="Century Gothic"/>
        </w:rPr>
      </w:pPr>
      <w:r w:rsidRPr="00EE7A24">
        <w:rPr>
          <w:rFonts w:ascii="Century Gothic" w:hAnsi="Century Gothic"/>
        </w:rPr>
        <w:lastRenderedPageBreak/>
        <w:t>Room Usage</w:t>
      </w:r>
    </w:p>
    <w:p w14:paraId="33E7E357"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number of hours of room use by external groups and organisations per month and the cost of hiring an equivalent space locally as determined by each Neighbourhood House. Where no value or below median value was reported, the replacement value is based on the median reported cost of $30</w:t>
      </w:r>
      <w:r w:rsidRPr="00EE7A24">
        <w:rPr>
          <w:rStyle w:val="FootnoteReference"/>
          <w:rFonts w:ascii="Century Gothic" w:hAnsi="Century Gothic"/>
          <w:sz w:val="22"/>
          <w:szCs w:val="22"/>
        </w:rPr>
        <w:footnoteReference w:id="8"/>
      </w:r>
      <w:r w:rsidRPr="00EE7A24">
        <w:rPr>
          <w:rFonts w:ascii="Century Gothic" w:hAnsi="Century Gothic"/>
          <w:sz w:val="22"/>
          <w:szCs w:val="22"/>
        </w:rPr>
        <w:t>. This is to reflect a minimum value to community rather than a replacement cost that is not reflective of broader market values.  The value does not include the benefits to community of the room use activity such as improved health, improved access to information, reduced cost to services, increased economic activity etc.</w:t>
      </w:r>
    </w:p>
    <w:p w14:paraId="62095AAB"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room hire is:</w:t>
      </w:r>
    </w:p>
    <w:p w14:paraId="1BE838B3"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hours of room hire in an average month x 12 months X cost per hour of local equivalent (either supplied or $30).</w:t>
      </w:r>
    </w:p>
    <w:p w14:paraId="36D3F80E" w14:textId="77777777" w:rsidR="00A1438D" w:rsidRPr="00EE7A24" w:rsidRDefault="00A1438D" w:rsidP="00A1438D">
      <w:pPr>
        <w:pStyle w:val="Heading3"/>
        <w:rPr>
          <w:rFonts w:ascii="Century Gothic" w:hAnsi="Century Gothic"/>
        </w:rPr>
      </w:pPr>
      <w:r w:rsidRPr="00EE7A24">
        <w:rPr>
          <w:rFonts w:ascii="Century Gothic" w:hAnsi="Century Gothic"/>
        </w:rPr>
        <w:t>Internet/computer usage</w:t>
      </w:r>
    </w:p>
    <w:p w14:paraId="7CE0006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number of hours of internet or computer use by individuals in an average month. This is benchmarked to the cost of a commercially available equivalent i.e. internet kiosk regardless of whether a commercial alternative is available. Note that free wifi is not an equivalent as there is no support or equipment made available. Commercial rates from $3-$5</w:t>
      </w:r>
      <w:r w:rsidRPr="00EE7A24">
        <w:rPr>
          <w:rStyle w:val="FootnoteReference"/>
          <w:rFonts w:ascii="Century Gothic" w:eastAsiaTheme="majorEastAsia" w:hAnsi="Century Gothic"/>
          <w:sz w:val="22"/>
          <w:szCs w:val="22"/>
        </w:rPr>
        <w:footnoteReference w:id="9"/>
      </w:r>
      <w:r w:rsidRPr="00EE7A24">
        <w:rPr>
          <w:rFonts w:ascii="Century Gothic" w:hAnsi="Century Gothic"/>
          <w:sz w:val="22"/>
          <w:szCs w:val="22"/>
        </w:rPr>
        <w:t xml:space="preserve"> have been benchmarked. The lower rate is used to account for the variation in the equipment and software provided. The rate does not include non-market benefits such as family connection, benefits from accessing or managing government services etc.</w:t>
      </w:r>
    </w:p>
    <w:p w14:paraId="387D89E0"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The formula used for calculating the community value of </w:t>
      </w:r>
      <w:bookmarkStart w:id="4" w:name="_Hlk33095549"/>
      <w:r w:rsidRPr="00EE7A24">
        <w:rPr>
          <w:rFonts w:ascii="Century Gothic" w:hAnsi="Century Gothic"/>
          <w:sz w:val="22"/>
          <w:szCs w:val="22"/>
        </w:rPr>
        <w:t xml:space="preserve">internet/computer </w:t>
      </w:r>
      <w:bookmarkEnd w:id="4"/>
      <w:r w:rsidRPr="00EE7A24">
        <w:rPr>
          <w:rFonts w:ascii="Century Gothic" w:hAnsi="Century Gothic"/>
          <w:sz w:val="22"/>
          <w:szCs w:val="22"/>
        </w:rPr>
        <w:t>use is:</w:t>
      </w:r>
    </w:p>
    <w:p w14:paraId="431F316A"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hours of internet/computer in average month x 12 months X $3</w:t>
      </w:r>
    </w:p>
    <w:p w14:paraId="1EB77D96" w14:textId="77777777" w:rsidR="00A1438D" w:rsidRPr="00EE7A24" w:rsidRDefault="00A1438D" w:rsidP="00A1438D">
      <w:pPr>
        <w:pStyle w:val="Heading3"/>
        <w:rPr>
          <w:rFonts w:ascii="Century Gothic" w:hAnsi="Century Gothic"/>
        </w:rPr>
      </w:pPr>
      <w:r w:rsidRPr="00EE7A24">
        <w:rPr>
          <w:rFonts w:ascii="Century Gothic" w:hAnsi="Century Gothic"/>
        </w:rPr>
        <w:t>Resume assistance</w:t>
      </w:r>
    </w:p>
    <w:p w14:paraId="0059A150" w14:textId="77777777" w:rsidR="00A1438D" w:rsidRPr="00EE7A24" w:rsidRDefault="00A1438D" w:rsidP="00A1438D">
      <w:pPr>
        <w:rPr>
          <w:rFonts w:ascii="Century Gothic" w:hAnsi="Century Gothic"/>
          <w:sz w:val="22"/>
          <w:szCs w:val="22"/>
        </w:rPr>
      </w:pPr>
      <w:r w:rsidRPr="00EE7A24">
        <w:rPr>
          <w:rFonts w:ascii="Century Gothic" w:hAnsi="Century Gothic" w:cstheme="minorHAnsi"/>
          <w:sz w:val="22"/>
          <w:szCs w:val="22"/>
        </w:rPr>
        <w:t>Based on the cost of a resume service for a fee. The fee was benchmarked</w:t>
      </w:r>
      <w:r w:rsidRPr="00EE7A24">
        <w:rPr>
          <w:rFonts w:ascii="Century Gothic" w:hAnsi="Century Gothic"/>
          <w:sz w:val="22"/>
          <w:szCs w:val="22"/>
        </w:rPr>
        <w:t xml:space="preserve"> at the median price of $50 on airtasker.com</w:t>
      </w:r>
      <w:r w:rsidRPr="00EE7A24">
        <w:rPr>
          <w:rStyle w:val="FootnoteReference"/>
          <w:rFonts w:ascii="Century Gothic" w:hAnsi="Century Gothic"/>
          <w:sz w:val="22"/>
          <w:szCs w:val="22"/>
        </w:rPr>
        <w:footnoteReference w:id="10"/>
      </w:r>
      <w:r w:rsidRPr="00EE7A24">
        <w:rPr>
          <w:rFonts w:ascii="Century Gothic" w:hAnsi="Century Gothic"/>
          <w:sz w:val="22"/>
          <w:szCs w:val="22"/>
        </w:rPr>
        <w:t>. The value was discounted to $30 to account for the fact that Neighbourhood Houses may provide a participant with assistance in developing a resume rather than creating a full resume as a service.</w:t>
      </w:r>
    </w:p>
    <w:p w14:paraId="098E27EC"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resume assistance is:</w:t>
      </w:r>
    </w:p>
    <w:p w14:paraId="2D9E4282"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resumes assisted with in an average month X 12 (months) x $30</w:t>
      </w:r>
    </w:p>
    <w:p w14:paraId="2B6A38CE" w14:textId="77777777" w:rsidR="00A1438D" w:rsidRPr="00EE7A24" w:rsidRDefault="00A1438D" w:rsidP="00A1438D">
      <w:pPr>
        <w:pStyle w:val="Heading3"/>
        <w:rPr>
          <w:rFonts w:ascii="Century Gothic" w:hAnsi="Century Gothic"/>
        </w:rPr>
      </w:pPr>
      <w:r w:rsidRPr="00EE7A24">
        <w:rPr>
          <w:rFonts w:ascii="Century Gothic" w:hAnsi="Century Gothic"/>
        </w:rPr>
        <w:t>Tax help</w:t>
      </w:r>
    </w:p>
    <w:p w14:paraId="2511FB49" w14:textId="77777777" w:rsidR="00A1438D" w:rsidRPr="00EE7A24" w:rsidRDefault="00A1438D" w:rsidP="00A1438D">
      <w:pPr>
        <w:rPr>
          <w:rFonts w:ascii="Century Gothic" w:hAnsi="Century Gothic" w:cstheme="minorHAnsi"/>
          <w:sz w:val="23"/>
          <w:szCs w:val="23"/>
        </w:rPr>
      </w:pPr>
      <w:r w:rsidRPr="00EE7A24">
        <w:rPr>
          <w:rFonts w:ascii="Century Gothic" w:hAnsi="Century Gothic" w:cstheme="minorHAnsi"/>
          <w:sz w:val="23"/>
          <w:szCs w:val="23"/>
        </w:rPr>
        <w:t>Based on the cost of the cheapest commercial tax service found online</w:t>
      </w:r>
      <w:r w:rsidRPr="00EE7A24">
        <w:rPr>
          <w:rStyle w:val="FootnoteReference"/>
          <w:rFonts w:ascii="Century Gothic" w:eastAsiaTheme="majorEastAsia" w:hAnsi="Century Gothic" w:cstheme="minorHAnsi"/>
          <w:sz w:val="23"/>
          <w:szCs w:val="23"/>
        </w:rPr>
        <w:footnoteReference w:id="11"/>
      </w:r>
      <w:r w:rsidRPr="00EE7A24">
        <w:rPr>
          <w:rFonts w:ascii="Century Gothic" w:hAnsi="Century Gothic" w:cstheme="minorHAnsi"/>
          <w:sz w:val="23"/>
          <w:szCs w:val="23"/>
        </w:rPr>
        <w:t xml:space="preserve"> at $100 per tax return. This is a conservative valuation as many tax help clients have multiple and/or complex returns which attract additional fees at commercial tax service providers. </w:t>
      </w:r>
    </w:p>
    <w:p w14:paraId="3DE1E371"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Tax Help is:</w:t>
      </w:r>
    </w:p>
    <w:p w14:paraId="1DDF45ED"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tax returns lodged in 2019 x $100</w:t>
      </w:r>
    </w:p>
    <w:p w14:paraId="198A450E" w14:textId="77777777" w:rsidR="00A1438D" w:rsidRPr="00EE7A24" w:rsidRDefault="00A1438D" w:rsidP="00A1438D">
      <w:pPr>
        <w:pStyle w:val="Heading3"/>
        <w:rPr>
          <w:rFonts w:ascii="Century Gothic" w:hAnsi="Century Gothic"/>
        </w:rPr>
      </w:pPr>
      <w:r w:rsidRPr="00EE7A24">
        <w:rPr>
          <w:rFonts w:ascii="Century Gothic" w:hAnsi="Century Gothic"/>
        </w:rPr>
        <w:t>Auspicing other organisations</w:t>
      </w:r>
    </w:p>
    <w:p w14:paraId="6887E72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cost of purchasing public liability cover which groups would have to take out if they were not covered by the Neighbourhood House under auspicing arrangements. The price is benchmarked at $637 for annual cover provided by Local Community Insurance Services</w:t>
      </w:r>
      <w:r w:rsidRPr="00EE7A24">
        <w:rPr>
          <w:rStyle w:val="FootnoteReference"/>
          <w:rFonts w:ascii="Century Gothic" w:eastAsiaTheme="majorEastAsia" w:hAnsi="Century Gothic"/>
          <w:sz w:val="22"/>
          <w:szCs w:val="22"/>
        </w:rPr>
        <w:footnoteReference w:id="12"/>
      </w:r>
    </w:p>
    <w:p w14:paraId="40BB9E6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lastRenderedPageBreak/>
        <w:t>The formula used for calculating the community value of auspicing other organisations is:</w:t>
      </w:r>
    </w:p>
    <w:p w14:paraId="78B9C4F0"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organisations auspiced in 2019 x $637</w:t>
      </w:r>
    </w:p>
    <w:p w14:paraId="09C5295F" w14:textId="77777777" w:rsidR="00A1438D" w:rsidRPr="00EE7A24" w:rsidRDefault="00A1438D" w:rsidP="00A1438D">
      <w:pPr>
        <w:pStyle w:val="Heading3"/>
        <w:rPr>
          <w:rFonts w:ascii="Century Gothic" w:hAnsi="Century Gothic"/>
        </w:rPr>
      </w:pPr>
      <w:r w:rsidRPr="00EE7A24">
        <w:rPr>
          <w:rFonts w:ascii="Century Gothic" w:hAnsi="Century Gothic"/>
        </w:rPr>
        <w:t>Community lunch, frozen or other meals</w:t>
      </w:r>
    </w:p>
    <w:p w14:paraId="6BD0D07D"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the cost of purchasing a meal commercially</w:t>
      </w:r>
      <w:r>
        <w:rPr>
          <w:rFonts w:ascii="Century Gothic" w:hAnsi="Century Gothic"/>
          <w:sz w:val="22"/>
          <w:szCs w:val="22"/>
        </w:rPr>
        <w:t>, t</w:t>
      </w:r>
      <w:r w:rsidRPr="00EE7A24">
        <w:rPr>
          <w:rFonts w:ascii="Century Gothic" w:hAnsi="Century Gothic"/>
          <w:sz w:val="22"/>
          <w:szCs w:val="22"/>
        </w:rPr>
        <w:t>his has been benchmarked at $10 per meal. This is benchmarked based on the prices quoted by ING, and numbeo.com</w:t>
      </w:r>
      <w:r w:rsidRPr="00EE7A24">
        <w:rPr>
          <w:rStyle w:val="FootnoteReference"/>
          <w:rFonts w:ascii="Century Gothic" w:eastAsiaTheme="majorEastAsia" w:hAnsi="Century Gothic"/>
          <w:sz w:val="22"/>
          <w:szCs w:val="22"/>
        </w:rPr>
        <w:footnoteReference w:id="13"/>
      </w:r>
      <w:r w:rsidRPr="00EE7A24">
        <w:rPr>
          <w:rFonts w:ascii="Century Gothic" w:hAnsi="Century Gothic"/>
          <w:sz w:val="22"/>
          <w:szCs w:val="22"/>
        </w:rPr>
        <w:t xml:space="preserve"> ranging from $13 to $25. It is discounted to $10 per meal to account for regional price variation.</w:t>
      </w:r>
    </w:p>
    <w:p w14:paraId="44DB4757"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While many meals provided at community lunches are likely to be a form of emergency relief, participants may attend community lunches for other reasons such as for company or a lack of cooking skills. Because we are unable to distinguish between the two, meals provided are not valued as emergency relief.</w:t>
      </w:r>
    </w:p>
    <w:p w14:paraId="2B4CBF3B"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community lunch</w:t>
      </w:r>
      <w:r>
        <w:rPr>
          <w:rFonts w:ascii="Century Gothic" w:hAnsi="Century Gothic"/>
          <w:sz w:val="22"/>
          <w:szCs w:val="22"/>
        </w:rPr>
        <w:t>es</w:t>
      </w:r>
      <w:r w:rsidRPr="00EE7A24">
        <w:rPr>
          <w:rFonts w:ascii="Century Gothic" w:hAnsi="Century Gothic"/>
          <w:sz w:val="22"/>
          <w:szCs w:val="22"/>
        </w:rPr>
        <w:t>, frozen or other meals is:</w:t>
      </w:r>
    </w:p>
    <w:p w14:paraId="3A51001E" w14:textId="77777777" w:rsidR="00A1438D" w:rsidRPr="00EE7A24" w:rsidRDefault="00A1438D" w:rsidP="00A1438D">
      <w:pPr>
        <w:jc w:val="center"/>
        <w:rPr>
          <w:rFonts w:ascii="Century Gothic" w:hAnsi="Century Gothic"/>
          <w:b/>
          <w:bCs/>
          <w:sz w:val="22"/>
          <w:szCs w:val="22"/>
        </w:rPr>
      </w:pPr>
      <w:r w:rsidRPr="00EE7A24">
        <w:rPr>
          <w:rFonts w:ascii="Century Gothic" w:hAnsi="Century Gothic"/>
          <w:b/>
          <w:bCs/>
          <w:sz w:val="22"/>
          <w:szCs w:val="22"/>
        </w:rPr>
        <w:t>Total number of individual meals served/provided in an average month x 12 months x $10</w:t>
      </w:r>
    </w:p>
    <w:p w14:paraId="507E55E4" w14:textId="77777777" w:rsidR="00A1438D" w:rsidRPr="00EE7A24" w:rsidRDefault="00A1438D" w:rsidP="00A1438D">
      <w:pPr>
        <w:pStyle w:val="Heading3"/>
        <w:rPr>
          <w:rFonts w:ascii="Century Gothic" w:hAnsi="Century Gothic"/>
        </w:rPr>
      </w:pPr>
      <w:r w:rsidRPr="00EE7A24">
        <w:rPr>
          <w:rFonts w:ascii="Century Gothic" w:hAnsi="Century Gothic"/>
        </w:rPr>
        <w:t>School aged breakfast clubs</w:t>
      </w:r>
    </w:p>
    <w:p w14:paraId="19B1E140"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value to community of food provided through school breakfast clubs is based on work undertaken by Foodbank in Australia</w:t>
      </w:r>
      <w:r w:rsidRPr="00EE7A24">
        <w:rPr>
          <w:rStyle w:val="FootnoteReference"/>
          <w:rFonts w:ascii="Century Gothic" w:eastAsiaTheme="majorEastAsia" w:hAnsi="Century Gothic"/>
          <w:sz w:val="22"/>
          <w:szCs w:val="22"/>
        </w:rPr>
        <w:footnoteReference w:id="14"/>
      </w:r>
      <w:r w:rsidRPr="00EE7A24">
        <w:rPr>
          <w:rFonts w:ascii="Century Gothic" w:hAnsi="Century Gothic"/>
          <w:sz w:val="22"/>
          <w:szCs w:val="22"/>
        </w:rPr>
        <w:t>. Their social return on investment analysis determined that school breakfast clubs were valued at an average $110 per kilogram of food in 2014 dollars. This valuation included the value of:</w:t>
      </w:r>
    </w:p>
    <w:p w14:paraId="581B0A6C"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Improved physical health (children)</w:t>
      </w:r>
    </w:p>
    <w:p w14:paraId="206BB797" w14:textId="77777777" w:rsidR="00A1438D" w:rsidRPr="00EE7A24" w:rsidRDefault="00A1438D" w:rsidP="00A1438D">
      <w:pPr>
        <w:pStyle w:val="ListParagraph"/>
        <w:numPr>
          <w:ilvl w:val="0"/>
          <w:numId w:val="6"/>
        </w:numPr>
        <w:spacing w:after="0" w:line="259" w:lineRule="auto"/>
        <w:rPr>
          <w:rFonts w:ascii="Century Gothic" w:hAnsi="Century Gothic"/>
          <w:sz w:val="22"/>
          <w:szCs w:val="22"/>
        </w:rPr>
      </w:pPr>
      <w:r w:rsidRPr="00EE7A24">
        <w:rPr>
          <w:rFonts w:ascii="Century Gothic" w:hAnsi="Century Gothic"/>
          <w:sz w:val="22"/>
          <w:szCs w:val="22"/>
        </w:rPr>
        <w:t>Better performance at school (students)</w:t>
      </w:r>
    </w:p>
    <w:p w14:paraId="5F6ED3FA" w14:textId="77777777" w:rsidR="00A1438D" w:rsidRPr="00EE7A24" w:rsidRDefault="00A1438D" w:rsidP="00A1438D">
      <w:pPr>
        <w:spacing w:after="0"/>
        <w:rPr>
          <w:rFonts w:ascii="Century Gothic" w:hAnsi="Century Gothic"/>
          <w:sz w:val="22"/>
          <w:szCs w:val="22"/>
        </w:rPr>
      </w:pPr>
    </w:p>
    <w:p w14:paraId="39C6F989"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data from their report, the average breakfast is valued at $31.40 in 2014 dollars. While the cost of food has increased since 2014, the change in value of the social benefits is unclear. For this reason, we have retained the $31.40 figure making this a conservative evaluation.</w:t>
      </w:r>
    </w:p>
    <w:p w14:paraId="215FBCD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The formula used for </w:t>
      </w:r>
      <w:bookmarkStart w:id="5" w:name="_Hlk33195893"/>
      <w:r w:rsidRPr="00EE7A24">
        <w:rPr>
          <w:rFonts w:ascii="Century Gothic" w:hAnsi="Century Gothic"/>
          <w:sz w:val="22"/>
          <w:szCs w:val="22"/>
        </w:rPr>
        <w:t xml:space="preserve">calculating the community value of </w:t>
      </w:r>
      <w:bookmarkEnd w:id="5"/>
      <w:r w:rsidRPr="00EE7A24">
        <w:rPr>
          <w:rFonts w:ascii="Century Gothic" w:hAnsi="Century Gothic"/>
          <w:sz w:val="22"/>
          <w:szCs w:val="22"/>
        </w:rPr>
        <w:t>school aged breakfast programs is:</w:t>
      </w:r>
    </w:p>
    <w:p w14:paraId="70DC1CD4" w14:textId="77777777" w:rsidR="00A1438D" w:rsidRPr="00525184" w:rsidRDefault="00A1438D" w:rsidP="00A1438D">
      <w:pPr>
        <w:jc w:val="center"/>
        <w:rPr>
          <w:rFonts w:ascii="Century Gothic" w:hAnsi="Century Gothic"/>
          <w:b/>
          <w:bCs/>
          <w:sz w:val="22"/>
          <w:szCs w:val="22"/>
        </w:rPr>
      </w:pPr>
      <w:r w:rsidRPr="00525184">
        <w:rPr>
          <w:rFonts w:ascii="Century Gothic" w:hAnsi="Century Gothic"/>
          <w:b/>
          <w:bCs/>
          <w:sz w:val="22"/>
          <w:szCs w:val="22"/>
        </w:rPr>
        <w:t>Total number of individual breakfasts served/provided in an average month x 1</w:t>
      </w:r>
      <w:r w:rsidR="00BE482F">
        <w:rPr>
          <w:rFonts w:ascii="Century Gothic" w:hAnsi="Century Gothic"/>
          <w:b/>
          <w:bCs/>
          <w:sz w:val="22"/>
          <w:szCs w:val="22"/>
        </w:rPr>
        <w:t>0</w:t>
      </w:r>
      <w:r w:rsidRPr="00525184">
        <w:rPr>
          <w:rFonts w:ascii="Century Gothic" w:hAnsi="Century Gothic"/>
          <w:b/>
          <w:bCs/>
          <w:sz w:val="22"/>
          <w:szCs w:val="22"/>
        </w:rPr>
        <w:t xml:space="preserve"> months x $31.40</w:t>
      </w:r>
    </w:p>
    <w:p w14:paraId="474AEEF8" w14:textId="77777777" w:rsidR="00A1438D" w:rsidRPr="00EE7A24" w:rsidRDefault="00A1438D" w:rsidP="00A1438D">
      <w:pPr>
        <w:pStyle w:val="Heading3"/>
        <w:rPr>
          <w:rFonts w:ascii="Century Gothic" w:hAnsi="Century Gothic"/>
        </w:rPr>
      </w:pPr>
      <w:r w:rsidRPr="00EE7A24">
        <w:rPr>
          <w:rFonts w:ascii="Century Gothic" w:hAnsi="Century Gothic"/>
        </w:rPr>
        <w:t>Government subsidised Adult Community Education</w:t>
      </w:r>
      <w:r>
        <w:rPr>
          <w:rFonts w:ascii="Century Gothic" w:hAnsi="Century Gothic"/>
        </w:rPr>
        <w:t xml:space="preserve"> (ACE)</w:t>
      </w:r>
    </w:p>
    <w:p w14:paraId="20BE86F9"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analysis of the Allen Consulting’s 2008 report, The Economic Benefit of Investment in Adult and Community Education in Victoria</w:t>
      </w:r>
      <w:r w:rsidRPr="00EE7A24">
        <w:rPr>
          <w:rStyle w:val="FootnoteReference"/>
          <w:rFonts w:ascii="Century Gothic" w:eastAsiaTheme="majorEastAsia" w:hAnsi="Century Gothic"/>
          <w:sz w:val="22"/>
          <w:szCs w:val="22"/>
        </w:rPr>
        <w:footnoteReference w:id="15"/>
      </w:r>
      <w:r w:rsidRPr="00EE7A24">
        <w:rPr>
          <w:rFonts w:ascii="Century Gothic" w:hAnsi="Century Gothic"/>
          <w:sz w:val="22"/>
          <w:szCs w:val="22"/>
        </w:rPr>
        <w:t xml:space="preserve"> commission by the ACFE Board. While there have been significant subsequent structural changes that have occurred in the VET sector, the work is most relevant because it examines the Victorian ACE sector specifically and includes pre-accredited as well as accredited training. The analysis discounts the value of pre-accredited compared to accredited training by estimating a proportional certificate equivalence.</w:t>
      </w:r>
    </w:p>
    <w:p w14:paraId="484CC0F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Its use to estimate community value is also adopted because it is conservative in that it does not;</w:t>
      </w:r>
    </w:p>
    <w:p w14:paraId="4394B580"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t>include the significant known non-market benefits such as improved health, reduced criminality and welfare dependency etc. estimated to be equal in value to the market benefits</w:t>
      </w:r>
    </w:p>
    <w:p w14:paraId="3B03D88D"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t xml:space="preserve">include 36.3% of </w:t>
      </w:r>
      <w:r>
        <w:rPr>
          <w:rFonts w:ascii="Century Gothic" w:hAnsi="Century Gothic"/>
          <w:sz w:val="22"/>
          <w:szCs w:val="22"/>
        </w:rPr>
        <w:t>s</w:t>
      </w:r>
      <w:r w:rsidRPr="00EE7A24">
        <w:rPr>
          <w:rFonts w:ascii="Century Gothic" w:hAnsi="Century Gothic"/>
          <w:sz w:val="22"/>
          <w:szCs w:val="22"/>
        </w:rPr>
        <w:t>tudent contact hours to account for those with no market benefit</w:t>
      </w:r>
    </w:p>
    <w:p w14:paraId="1D976607"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lastRenderedPageBreak/>
        <w:t>include the direct contribution of ACE provision to the economy (direct and induced economic impact of provider expenditure and wages)</w:t>
      </w:r>
    </w:p>
    <w:p w14:paraId="5431D4FC"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t xml:space="preserve">include the benefits provided to community from $10.09 additional tax revenues from increased income and gross state product for each dollar invested by the Victorian government in ACE  </w:t>
      </w:r>
    </w:p>
    <w:p w14:paraId="16C4BB77"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t xml:space="preserve">account for the increased focus on delivery of pre-accredited training with market benefits since 2008 </w:t>
      </w:r>
    </w:p>
    <w:p w14:paraId="145877A2" w14:textId="77777777" w:rsidR="00A1438D" w:rsidRPr="00EE7A24" w:rsidRDefault="00A1438D" w:rsidP="00A1438D">
      <w:pPr>
        <w:pStyle w:val="ListParagraph"/>
        <w:numPr>
          <w:ilvl w:val="0"/>
          <w:numId w:val="8"/>
        </w:numPr>
        <w:spacing w:after="160" w:line="259" w:lineRule="auto"/>
        <w:rPr>
          <w:rFonts w:ascii="Century Gothic" w:hAnsi="Century Gothic"/>
          <w:sz w:val="22"/>
          <w:szCs w:val="22"/>
        </w:rPr>
      </w:pPr>
      <w:r w:rsidRPr="00EE7A24">
        <w:rPr>
          <w:rFonts w:ascii="Century Gothic" w:hAnsi="Century Gothic"/>
          <w:sz w:val="22"/>
          <w:szCs w:val="22"/>
        </w:rPr>
        <w:t>account for tighter targeting of vocational training to industry demand</w:t>
      </w:r>
    </w:p>
    <w:p w14:paraId="20F24C8F"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This report effectively values two principle community benefits at $17.23 for each dollar of government funding. It is the value created over a 25-year timeframe from the learning provided. This rate is comparable with other work conducted locally and internationally. From a single year of state government investment of $36.7 million, the report models:</w:t>
      </w:r>
    </w:p>
    <w:p w14:paraId="0A6FC11A"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Future income – $202 million</w:t>
      </w:r>
    </w:p>
    <w:p w14:paraId="7C4FA9E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Increased gross state product – 2.13 times the income effect - $202 million x 2.13 = $ 430.26 million</w:t>
      </w:r>
    </w:p>
    <w:p w14:paraId="1737051A"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Total $632.26 million / $36.7 million state government funding = $17.23</w:t>
      </w:r>
    </w:p>
    <w:p w14:paraId="34CB70D1"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By comparison, a 2017 study from the University of Adelaide’s South Australian Centre for Economic Studies</w:t>
      </w:r>
      <w:r w:rsidRPr="00EE7A24">
        <w:rPr>
          <w:rStyle w:val="FootnoteReference"/>
          <w:rFonts w:ascii="Century Gothic" w:hAnsi="Century Gothic"/>
          <w:sz w:val="22"/>
          <w:szCs w:val="22"/>
        </w:rPr>
        <w:footnoteReference w:id="16"/>
      </w:r>
      <w:r w:rsidRPr="00EE7A24">
        <w:rPr>
          <w:rFonts w:ascii="Century Gothic" w:hAnsi="Century Gothic"/>
          <w:sz w:val="22"/>
          <w:szCs w:val="22"/>
        </w:rPr>
        <w:t xml:space="preserve"> showed a return on investment for Cert I foundation courses averaging just 34 student contact hours at $6.50 for each dollar of funding. However, the average SCH rate of $43.70 was about 4.8 times the value of $9.10 ACFE rate so equates to over $31 return on investment for the same volume of activity if conducted as pre-accredited in Victoria. The study also only included the benefit of increased income and Victorian transition rates to Cert III and above for Learn Local students, with the corresponding higher income earning potential, are much higher</w:t>
      </w:r>
      <w:r w:rsidRPr="00EE7A24">
        <w:rPr>
          <w:rStyle w:val="FootnoteReference"/>
          <w:rFonts w:ascii="Century Gothic" w:hAnsi="Century Gothic"/>
          <w:sz w:val="22"/>
          <w:szCs w:val="22"/>
        </w:rPr>
        <w:footnoteReference w:id="17"/>
      </w:r>
      <w:r w:rsidRPr="00EE7A24">
        <w:rPr>
          <w:rFonts w:ascii="Century Gothic" w:hAnsi="Century Gothic"/>
          <w:sz w:val="22"/>
          <w:szCs w:val="22"/>
        </w:rPr>
        <w:t xml:space="preserve"> than those in the South Australian study. </w:t>
      </w:r>
    </w:p>
    <w:p w14:paraId="7BB3C881"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Work that includes a more comprehensive range of non-market benefits values Government subsidised Adult Community Education at much higher rates. A New Zealand analysis from Price Waterhouse Coopers</w:t>
      </w:r>
      <w:r w:rsidRPr="00EE7A24">
        <w:rPr>
          <w:rStyle w:val="FootnoteReference"/>
          <w:rFonts w:ascii="Century Gothic" w:hAnsi="Century Gothic"/>
          <w:sz w:val="22"/>
          <w:szCs w:val="22"/>
        </w:rPr>
        <w:footnoteReference w:id="18"/>
      </w:r>
      <w:r w:rsidRPr="00EE7A24">
        <w:rPr>
          <w:rFonts w:ascii="Century Gothic" w:hAnsi="Century Gothic"/>
          <w:sz w:val="22"/>
          <w:szCs w:val="22"/>
        </w:rPr>
        <w:t xml:space="preserve"> valued ACE returns, including a range of non-market benefits, up to $72 for each $1 invested. While the comparisons differ substantially in many ways, all add significant value because they focus on disadvantaged learners.</w:t>
      </w:r>
    </w:p>
    <w:p w14:paraId="3B20011D"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Any potential overstatement of community value due to the changes in the structure of ACE since 2008 are more than compensated for by the value of other benefits not included in the calculation.</w:t>
      </w:r>
    </w:p>
    <w:p w14:paraId="55D77FF0"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Government subsidised Adult Community Education programs is:</w:t>
      </w:r>
    </w:p>
    <w:p w14:paraId="47540230" w14:textId="77777777" w:rsidR="00A1438D" w:rsidRPr="00525184" w:rsidRDefault="00A1438D" w:rsidP="00A1438D">
      <w:pPr>
        <w:jc w:val="center"/>
        <w:rPr>
          <w:rFonts w:ascii="Century Gothic" w:hAnsi="Century Gothic"/>
          <w:b/>
          <w:bCs/>
          <w:sz w:val="22"/>
          <w:szCs w:val="22"/>
        </w:rPr>
      </w:pPr>
      <w:r w:rsidRPr="00525184">
        <w:rPr>
          <w:rFonts w:ascii="Century Gothic" w:hAnsi="Century Gothic"/>
          <w:b/>
          <w:bCs/>
          <w:sz w:val="22"/>
          <w:szCs w:val="22"/>
        </w:rPr>
        <w:t xml:space="preserve">Total $ value of government student contact hour subsidies in 2019 </w:t>
      </w:r>
      <w:r>
        <w:rPr>
          <w:rFonts w:ascii="Century Gothic" w:hAnsi="Century Gothic"/>
          <w:b/>
          <w:bCs/>
          <w:sz w:val="22"/>
          <w:szCs w:val="22"/>
        </w:rPr>
        <w:t>X</w:t>
      </w:r>
      <w:r w:rsidRPr="00525184">
        <w:rPr>
          <w:rFonts w:ascii="Century Gothic" w:hAnsi="Century Gothic"/>
          <w:b/>
          <w:bCs/>
          <w:sz w:val="22"/>
          <w:szCs w:val="22"/>
        </w:rPr>
        <w:t xml:space="preserve"> 17.23</w:t>
      </w:r>
    </w:p>
    <w:p w14:paraId="7CE4C9C5" w14:textId="77777777" w:rsidR="00A1438D" w:rsidRPr="00EE7A24" w:rsidRDefault="00A1438D" w:rsidP="00A1438D">
      <w:pPr>
        <w:pStyle w:val="Heading3"/>
        <w:rPr>
          <w:rFonts w:ascii="Century Gothic" w:hAnsi="Century Gothic"/>
        </w:rPr>
      </w:pPr>
      <w:r w:rsidRPr="00EE7A24">
        <w:rPr>
          <w:rFonts w:ascii="Century Gothic" w:hAnsi="Century Gothic"/>
        </w:rPr>
        <w:t>Childcare</w:t>
      </w:r>
    </w:p>
    <w:p w14:paraId="701D7EB4"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There is inadequate research to determine the value to community of occasional childcare beyond the actual value of the service. </w:t>
      </w:r>
    </w:p>
    <w:p w14:paraId="3692AE3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childcare is:</w:t>
      </w:r>
    </w:p>
    <w:p w14:paraId="343219F8" w14:textId="77777777" w:rsidR="00A1438D" w:rsidRPr="00525184" w:rsidRDefault="00A1438D" w:rsidP="00A1438D">
      <w:pPr>
        <w:jc w:val="center"/>
        <w:rPr>
          <w:rFonts w:ascii="Century Gothic" w:hAnsi="Century Gothic"/>
          <w:b/>
          <w:bCs/>
          <w:sz w:val="22"/>
          <w:szCs w:val="22"/>
        </w:rPr>
      </w:pPr>
      <w:r w:rsidRPr="00525184">
        <w:rPr>
          <w:rFonts w:ascii="Century Gothic" w:hAnsi="Century Gothic"/>
          <w:b/>
          <w:bCs/>
          <w:sz w:val="22"/>
          <w:szCs w:val="22"/>
        </w:rPr>
        <w:lastRenderedPageBreak/>
        <w:t xml:space="preserve">Total $ value of government subsidies + parent fees in 2019 </w:t>
      </w:r>
      <w:r>
        <w:rPr>
          <w:rFonts w:ascii="Century Gothic" w:hAnsi="Century Gothic"/>
          <w:b/>
          <w:bCs/>
          <w:sz w:val="22"/>
          <w:szCs w:val="22"/>
        </w:rPr>
        <w:t>X</w:t>
      </w:r>
      <w:r w:rsidRPr="00525184">
        <w:rPr>
          <w:rFonts w:ascii="Century Gothic" w:hAnsi="Century Gothic"/>
          <w:b/>
          <w:bCs/>
          <w:sz w:val="22"/>
          <w:szCs w:val="22"/>
        </w:rPr>
        <w:t xml:space="preserve"> 1</w:t>
      </w:r>
    </w:p>
    <w:p w14:paraId="011B1C75" w14:textId="77777777" w:rsidR="00A1438D" w:rsidRPr="00EE7A24" w:rsidRDefault="00A1438D" w:rsidP="00A1438D">
      <w:pPr>
        <w:pStyle w:val="Heading3"/>
        <w:rPr>
          <w:rFonts w:ascii="Century Gothic" w:hAnsi="Century Gothic"/>
        </w:rPr>
      </w:pPr>
      <w:r w:rsidRPr="00EE7A24">
        <w:rPr>
          <w:rFonts w:ascii="Century Gothic" w:hAnsi="Century Gothic"/>
        </w:rPr>
        <w:t>Four-year-old Kinder</w:t>
      </w:r>
    </w:p>
    <w:p w14:paraId="081F746C"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Based on a 2019 Price Water House Coopers study</w:t>
      </w:r>
      <w:r w:rsidRPr="00EE7A24">
        <w:rPr>
          <w:rStyle w:val="FootnoteReference"/>
          <w:rFonts w:ascii="Century Gothic" w:hAnsi="Century Gothic"/>
          <w:sz w:val="22"/>
          <w:szCs w:val="22"/>
        </w:rPr>
        <w:footnoteReference w:id="19"/>
      </w:r>
      <w:r w:rsidRPr="00EE7A24">
        <w:rPr>
          <w:rFonts w:ascii="Century Gothic" w:hAnsi="Century Gothic"/>
          <w:sz w:val="22"/>
          <w:szCs w:val="22"/>
        </w:rPr>
        <w:t xml:space="preserve"> which valued early childhood education in the year-before-school. It calculated a $2 benefit for each dollar of costs.</w:t>
      </w:r>
    </w:p>
    <w:p w14:paraId="39C20464"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of four-year-old kinder is:</w:t>
      </w:r>
    </w:p>
    <w:p w14:paraId="632F354C" w14:textId="77777777" w:rsidR="00A1438D" w:rsidRPr="00525184" w:rsidRDefault="00A1438D" w:rsidP="00A1438D">
      <w:pPr>
        <w:jc w:val="center"/>
        <w:rPr>
          <w:rFonts w:ascii="Century Gothic" w:hAnsi="Century Gothic"/>
          <w:b/>
          <w:bCs/>
          <w:sz w:val="22"/>
          <w:szCs w:val="22"/>
        </w:rPr>
      </w:pPr>
      <w:r w:rsidRPr="00525184">
        <w:rPr>
          <w:rFonts w:ascii="Century Gothic" w:hAnsi="Century Gothic"/>
          <w:b/>
          <w:bCs/>
          <w:sz w:val="22"/>
          <w:szCs w:val="22"/>
        </w:rPr>
        <w:t xml:space="preserve">Total $ value of government subsidies + parent fees in 2019 </w:t>
      </w:r>
      <w:r>
        <w:rPr>
          <w:rFonts w:ascii="Century Gothic" w:hAnsi="Century Gothic"/>
          <w:b/>
          <w:bCs/>
          <w:sz w:val="22"/>
          <w:szCs w:val="22"/>
        </w:rPr>
        <w:t>X</w:t>
      </w:r>
      <w:r w:rsidRPr="00525184">
        <w:rPr>
          <w:rFonts w:ascii="Century Gothic" w:hAnsi="Century Gothic"/>
          <w:b/>
          <w:bCs/>
          <w:sz w:val="22"/>
          <w:szCs w:val="22"/>
        </w:rPr>
        <w:t xml:space="preserve"> 2</w:t>
      </w:r>
    </w:p>
    <w:p w14:paraId="251C995A" w14:textId="77777777" w:rsidR="00A1438D" w:rsidRPr="00EE7A24" w:rsidRDefault="00A1438D" w:rsidP="00A1438D">
      <w:pPr>
        <w:pStyle w:val="Heading2"/>
        <w:rPr>
          <w:rFonts w:ascii="Century Gothic" w:hAnsi="Century Gothic"/>
        </w:rPr>
      </w:pPr>
      <w:r w:rsidRPr="00EE7A24">
        <w:rPr>
          <w:rFonts w:ascii="Century Gothic" w:hAnsi="Century Gothic"/>
        </w:rPr>
        <w:t>Community value relative to inputs</w:t>
      </w:r>
    </w:p>
    <w:p w14:paraId="5533C505" w14:textId="77777777" w:rsidR="00A1438D" w:rsidRPr="00EE7A24" w:rsidRDefault="00A1438D" w:rsidP="00A1438D">
      <w:pPr>
        <w:spacing w:after="0"/>
        <w:rPr>
          <w:rFonts w:ascii="Century Gothic" w:hAnsi="Century Gothic"/>
        </w:rPr>
      </w:pPr>
      <w:r w:rsidRPr="00EE7A24">
        <w:rPr>
          <w:rStyle w:val="Heading3Char"/>
          <w:rFonts w:ascii="Century Gothic" w:hAnsi="Century Gothic"/>
        </w:rPr>
        <w:t>Community value for every $1 of Neighbourhood House Coordination Program (NHCP</w:t>
      </w:r>
      <w:r w:rsidRPr="00525184">
        <w:rPr>
          <w:rStyle w:val="Heading3Char"/>
          <w:rFonts w:ascii="Century Gothic" w:hAnsi="Century Gothic"/>
        </w:rPr>
        <w:t>)</w:t>
      </w:r>
      <w:r w:rsidRPr="00EE7A24">
        <w:rPr>
          <w:rFonts w:ascii="Century Gothic" w:hAnsi="Century Gothic"/>
        </w:rPr>
        <w:t xml:space="preserve"> </w:t>
      </w:r>
    </w:p>
    <w:p w14:paraId="3E1A3AEA"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Shows the total calculable community value from the organisation for each dollar of NHCP funding received. The NHCP provides the platform to develop and attract funding for the various activities the organisation undertakes.</w:t>
      </w:r>
    </w:p>
    <w:p w14:paraId="0F5304A5"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for each dollar of NHCP is:</w:t>
      </w:r>
    </w:p>
    <w:p w14:paraId="7EE5D50D" w14:textId="77777777" w:rsidR="00A1438D" w:rsidRPr="00810DF5" w:rsidRDefault="00A1438D" w:rsidP="00A1438D">
      <w:pPr>
        <w:jc w:val="center"/>
        <w:rPr>
          <w:rFonts w:ascii="Century Gothic" w:hAnsi="Century Gothic"/>
          <w:b/>
          <w:bCs/>
          <w:sz w:val="22"/>
          <w:szCs w:val="22"/>
        </w:rPr>
      </w:pPr>
      <w:r w:rsidRPr="00810DF5">
        <w:rPr>
          <w:rFonts w:ascii="Century Gothic" w:hAnsi="Century Gothic"/>
          <w:b/>
          <w:bCs/>
          <w:sz w:val="22"/>
          <w:szCs w:val="22"/>
        </w:rPr>
        <w:t>Total community value/ total NHCP for the reported year</w:t>
      </w:r>
    </w:p>
    <w:p w14:paraId="522B4CE2" w14:textId="77777777" w:rsidR="00A1438D" w:rsidRPr="00EE7A24" w:rsidRDefault="00A1438D" w:rsidP="00A1438D">
      <w:pPr>
        <w:spacing w:after="0"/>
        <w:rPr>
          <w:rStyle w:val="Heading3Char"/>
          <w:rFonts w:ascii="Century Gothic" w:hAnsi="Century Gothic"/>
        </w:rPr>
      </w:pPr>
      <w:r w:rsidRPr="00EE7A24">
        <w:rPr>
          <w:rStyle w:val="Heading3Char"/>
          <w:rFonts w:ascii="Century Gothic" w:hAnsi="Century Gothic"/>
        </w:rPr>
        <w:t>Community value for every $1 of income</w:t>
      </w:r>
    </w:p>
    <w:p w14:paraId="62314900"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Shows the total calculable community value from the organisation for each dollar of income received. </w:t>
      </w:r>
    </w:p>
    <w:p w14:paraId="17CA691B" w14:textId="77777777" w:rsidR="00A1438D" w:rsidRPr="00810DF5" w:rsidRDefault="00A1438D" w:rsidP="00A1438D">
      <w:pPr>
        <w:rPr>
          <w:rFonts w:ascii="Century Gothic" w:hAnsi="Century Gothic"/>
          <w:sz w:val="22"/>
          <w:szCs w:val="22"/>
        </w:rPr>
      </w:pPr>
      <w:r w:rsidRPr="00810DF5">
        <w:rPr>
          <w:rFonts w:ascii="Century Gothic" w:hAnsi="Century Gothic"/>
          <w:sz w:val="22"/>
          <w:szCs w:val="22"/>
        </w:rPr>
        <w:t>The formula used for calculating the community value for each dollar of NHCP is:</w:t>
      </w:r>
    </w:p>
    <w:p w14:paraId="4B2EFE0F" w14:textId="77777777" w:rsidR="00A1438D" w:rsidRPr="00810DF5" w:rsidRDefault="00A1438D" w:rsidP="00A1438D">
      <w:pPr>
        <w:jc w:val="center"/>
        <w:rPr>
          <w:rFonts w:ascii="Century Gothic" w:hAnsi="Century Gothic"/>
          <w:b/>
          <w:bCs/>
          <w:sz w:val="22"/>
          <w:szCs w:val="22"/>
        </w:rPr>
      </w:pPr>
      <w:r w:rsidRPr="00810DF5">
        <w:rPr>
          <w:rFonts w:ascii="Century Gothic" w:hAnsi="Century Gothic"/>
          <w:b/>
          <w:bCs/>
          <w:sz w:val="22"/>
          <w:szCs w:val="22"/>
        </w:rPr>
        <w:t>Total community value/ total annual income for the reported year</w:t>
      </w:r>
    </w:p>
    <w:p w14:paraId="64D569B4" w14:textId="77777777" w:rsidR="00A1438D" w:rsidRPr="00EE7A24" w:rsidRDefault="00A1438D" w:rsidP="00A1438D">
      <w:pPr>
        <w:pStyle w:val="Heading3"/>
        <w:rPr>
          <w:rFonts w:ascii="Century Gothic" w:eastAsiaTheme="minorHAnsi" w:hAnsi="Century Gothic"/>
          <w:b/>
        </w:rPr>
      </w:pPr>
      <w:r w:rsidRPr="00EE7A24">
        <w:rPr>
          <w:rFonts w:ascii="Century Gothic" w:eastAsiaTheme="minorHAnsi" w:hAnsi="Century Gothic"/>
        </w:rPr>
        <w:t>Community value for every hour the Neighbourhood House is in use</w:t>
      </w:r>
    </w:p>
    <w:p w14:paraId="6A44F993"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 xml:space="preserve">Shows the total calculable community value as an average for each hour the Neighbourhood House is in use. ‘In use’ includes any time of the week or day when activities are occurring, regardless of whether the organisation is staffed or open to the broader public. It does not reflect concurrent usage i.e. multiple activities occurring simultaneously for one hour are counted as 1 hour of use, even if these activities occur at different sites operated by the organisation. It is essentially an expression of community value from a building utilisation perspective. </w:t>
      </w:r>
    </w:p>
    <w:p w14:paraId="73277EC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calculation assumes activities take place over 50 weeks in the year.</w:t>
      </w:r>
    </w:p>
    <w:p w14:paraId="4D37743B"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community value for every hour the Neighbourhood House is in use is:</w:t>
      </w:r>
    </w:p>
    <w:p w14:paraId="6372D07A" w14:textId="77777777" w:rsidR="00A1438D" w:rsidRPr="00810DF5" w:rsidRDefault="00A1438D" w:rsidP="00A1438D">
      <w:pPr>
        <w:jc w:val="center"/>
        <w:rPr>
          <w:rFonts w:ascii="Century Gothic" w:hAnsi="Century Gothic"/>
          <w:b/>
          <w:bCs/>
          <w:sz w:val="22"/>
          <w:szCs w:val="22"/>
        </w:rPr>
      </w:pPr>
      <w:r w:rsidRPr="00810DF5">
        <w:rPr>
          <w:rFonts w:ascii="Century Gothic" w:hAnsi="Century Gothic"/>
          <w:b/>
          <w:bCs/>
          <w:sz w:val="22"/>
          <w:szCs w:val="22"/>
        </w:rPr>
        <w:t>Total community value / (hours per week the building/s is in use x 50)</w:t>
      </w:r>
    </w:p>
    <w:p w14:paraId="46B4B861" w14:textId="77777777" w:rsidR="00A1438D" w:rsidRPr="00EE7A24" w:rsidRDefault="00A1438D" w:rsidP="00A1438D">
      <w:pPr>
        <w:pStyle w:val="Heading2"/>
        <w:rPr>
          <w:rFonts w:ascii="Century Gothic" w:hAnsi="Century Gothic"/>
        </w:rPr>
      </w:pPr>
      <w:r w:rsidRPr="00EE7A24">
        <w:rPr>
          <w:rFonts w:ascii="Century Gothic" w:hAnsi="Century Gothic"/>
        </w:rPr>
        <w:t>Employment</w:t>
      </w:r>
    </w:p>
    <w:p w14:paraId="1E1235D6"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Employment is calculated using the total hours of paid employment response combined with multipliers derived from 2017 analysis by Deloitte ACCESS Economics on the Economic contribution of the Australian charity sector for the Australian Charities and Not-for-profits Commission</w:t>
      </w:r>
      <w:r w:rsidRPr="00EE7A24">
        <w:rPr>
          <w:rStyle w:val="FootnoteReference"/>
          <w:rFonts w:ascii="Century Gothic" w:hAnsi="Century Gothic"/>
          <w:sz w:val="22"/>
          <w:szCs w:val="22"/>
        </w:rPr>
        <w:footnoteReference w:id="20"/>
      </w:r>
      <w:r w:rsidRPr="00EE7A24">
        <w:rPr>
          <w:rFonts w:ascii="Century Gothic" w:hAnsi="Century Gothic"/>
          <w:sz w:val="22"/>
          <w:szCs w:val="22"/>
        </w:rPr>
        <w:t xml:space="preserve">. The multipliers are based on employment data for the development and housing sector classification. This classification covers much of the work done by Neighbourhood Houses including community development and training (multiplier = 1.39). This means that for every full-time equivalent employee, a further 0.39 full-time equivalent jobs are supported elsewhere in the economy due to the economic activity created by wage spending. Neighbourhood Houses engage in activities that fit in other classifications e.g. emergency relief, referral etc which fit within </w:t>
      </w:r>
      <w:r w:rsidRPr="00EE7A24">
        <w:rPr>
          <w:rFonts w:ascii="Century Gothic" w:hAnsi="Century Gothic"/>
          <w:sz w:val="22"/>
          <w:szCs w:val="22"/>
        </w:rPr>
        <w:lastRenderedPageBreak/>
        <w:t>the social services classification (multiplier = 1.46) or recreational activities that fit within the culture and recreation (multiplier = 1.35). These classifications’ multipliers are marginally higher and lower than the development and housing multiplier respectively, further supporting the use of a 1.39 employment multiplier for the sector.</w:t>
      </w:r>
    </w:p>
    <w:p w14:paraId="3BA808FE" w14:textId="77777777" w:rsidR="00A1438D" w:rsidRPr="00EE7A24" w:rsidRDefault="00A1438D" w:rsidP="00A1438D">
      <w:pPr>
        <w:rPr>
          <w:rFonts w:ascii="Century Gothic" w:hAnsi="Century Gothic"/>
          <w:sz w:val="22"/>
          <w:szCs w:val="22"/>
        </w:rPr>
      </w:pPr>
      <w:r w:rsidRPr="00EE7A24">
        <w:rPr>
          <w:rFonts w:ascii="Century Gothic" w:hAnsi="Century Gothic"/>
          <w:sz w:val="22"/>
          <w:szCs w:val="22"/>
        </w:rPr>
        <w:t>The formula used for calculating the total employment effect is:</w:t>
      </w:r>
    </w:p>
    <w:p w14:paraId="386DBF3B" w14:textId="77777777" w:rsidR="00A1438D" w:rsidRPr="00810DF5" w:rsidRDefault="00A1438D" w:rsidP="00A1438D">
      <w:pPr>
        <w:jc w:val="center"/>
        <w:rPr>
          <w:rFonts w:ascii="Century Gothic" w:hAnsi="Century Gothic"/>
          <w:b/>
          <w:bCs/>
          <w:sz w:val="22"/>
          <w:szCs w:val="22"/>
        </w:rPr>
      </w:pPr>
      <w:r w:rsidRPr="00810DF5">
        <w:rPr>
          <w:rFonts w:ascii="Century Gothic" w:hAnsi="Century Gothic"/>
          <w:b/>
          <w:bCs/>
          <w:sz w:val="22"/>
          <w:szCs w:val="22"/>
        </w:rPr>
        <w:t xml:space="preserve">Total reported </w:t>
      </w:r>
      <w:r>
        <w:rPr>
          <w:rFonts w:ascii="Century Gothic" w:hAnsi="Century Gothic"/>
          <w:b/>
          <w:bCs/>
          <w:sz w:val="22"/>
          <w:szCs w:val="22"/>
        </w:rPr>
        <w:t>hours of paid employment /38</w:t>
      </w:r>
      <w:r w:rsidRPr="00810DF5">
        <w:rPr>
          <w:rFonts w:ascii="Century Gothic" w:hAnsi="Century Gothic"/>
          <w:b/>
          <w:bCs/>
          <w:sz w:val="22"/>
          <w:szCs w:val="22"/>
        </w:rPr>
        <w:t xml:space="preserve"> X 1.39</w:t>
      </w:r>
    </w:p>
    <w:p w14:paraId="654E14CC" w14:textId="77777777" w:rsidR="00AD2191" w:rsidRPr="00B65E96" w:rsidRDefault="00AD2191" w:rsidP="00A1438D">
      <w:pPr>
        <w:pStyle w:val="Heading2"/>
        <w:rPr>
          <w:sz w:val="22"/>
          <w:szCs w:val="22"/>
        </w:rPr>
      </w:pPr>
    </w:p>
    <w:sectPr w:rsidR="00AD2191" w:rsidRPr="00B65E96" w:rsidSect="00D248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1F6F" w14:textId="77777777" w:rsidR="00690574" w:rsidRDefault="00690574" w:rsidP="00AD2191">
      <w:pPr>
        <w:spacing w:after="0" w:line="240" w:lineRule="auto"/>
      </w:pPr>
      <w:r>
        <w:separator/>
      </w:r>
    </w:p>
  </w:endnote>
  <w:endnote w:type="continuationSeparator" w:id="0">
    <w:p w14:paraId="08285152" w14:textId="77777777" w:rsidR="00690574" w:rsidRDefault="00690574" w:rsidP="00AD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alibri"/>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47C5F" w14:textId="77777777" w:rsidR="00690574" w:rsidRDefault="00690574" w:rsidP="00AD2191">
      <w:pPr>
        <w:spacing w:after="0" w:line="240" w:lineRule="auto"/>
      </w:pPr>
      <w:r>
        <w:separator/>
      </w:r>
    </w:p>
  </w:footnote>
  <w:footnote w:type="continuationSeparator" w:id="0">
    <w:p w14:paraId="6079315E" w14:textId="77777777" w:rsidR="00690574" w:rsidRDefault="00690574" w:rsidP="00AD2191">
      <w:pPr>
        <w:spacing w:after="0" w:line="240" w:lineRule="auto"/>
      </w:pPr>
      <w:r>
        <w:continuationSeparator/>
      </w:r>
    </w:p>
  </w:footnote>
  <w:footnote w:id="1">
    <w:p w14:paraId="4DF1BEAC" w14:textId="77777777" w:rsidR="00A1438D" w:rsidRDefault="00A1438D" w:rsidP="00A1438D">
      <w:pPr>
        <w:pStyle w:val="FootnoteText"/>
      </w:pPr>
      <w:r>
        <w:rPr>
          <w:rStyle w:val="FootnoteReference"/>
        </w:rPr>
        <w:footnoteRef/>
      </w:r>
      <w:r>
        <w:t xml:space="preserve"> </w:t>
      </w:r>
      <w:r w:rsidRPr="001276F1">
        <w:t>http://www.morwellnh.org.au/wp-content/uploads/2018/05/MNH_Social-Impact-Analysis_May-2018_.pdf</w:t>
      </w:r>
    </w:p>
  </w:footnote>
  <w:footnote w:id="2">
    <w:p w14:paraId="4E2C983D" w14:textId="77777777" w:rsidR="00A1438D" w:rsidRDefault="00A1438D" w:rsidP="00A1438D">
      <w:pPr>
        <w:pStyle w:val="FootnoteText"/>
      </w:pPr>
      <w:r>
        <w:rPr>
          <w:rStyle w:val="FootnoteReference"/>
        </w:rPr>
        <w:footnoteRef/>
      </w:r>
      <w:r>
        <w:t xml:space="preserve"> </w:t>
      </w:r>
      <w:r w:rsidRPr="002F4B09">
        <w:t>https://www.pmc.gov.au/sites/default/files/publications/Value_of_Statistical_Life_guidance_note.pdf</w:t>
      </w:r>
    </w:p>
  </w:footnote>
  <w:footnote w:id="3">
    <w:p w14:paraId="1FD92824" w14:textId="77777777" w:rsidR="00A1438D" w:rsidRDefault="00A1438D" w:rsidP="00A1438D">
      <w:pPr>
        <w:pStyle w:val="FootnoteText"/>
      </w:pPr>
      <w:r>
        <w:rPr>
          <w:rStyle w:val="FootnoteReference"/>
        </w:rPr>
        <w:footnoteRef/>
      </w:r>
      <w:r>
        <w:t xml:space="preserve"> </w:t>
      </w:r>
      <w:r w:rsidRPr="002F4B09">
        <w:t>https://www1.health.gov.au/internet/publications/publishing.nsf/Content/illicit-pubs-needle-return-1-rep-toc~illicit-pubs-needle-return-1-rep-5~illicit-pubs-needle-return-1-rep-5-2</w:t>
      </w:r>
    </w:p>
  </w:footnote>
  <w:footnote w:id="4">
    <w:p w14:paraId="68E5A798" w14:textId="77777777" w:rsidR="00A1438D" w:rsidRDefault="00A1438D" w:rsidP="00A1438D">
      <w:pPr>
        <w:pStyle w:val="FootnoteText"/>
      </w:pPr>
      <w:r>
        <w:rPr>
          <w:rStyle w:val="FootnoteReference"/>
        </w:rPr>
        <w:footnoteRef/>
      </w:r>
      <w:r>
        <w:t xml:space="preserve"> Where A Neighbourhood House’s participant data are absent or unreliable due to sample size, an average of Neighbourhood Houses in similar sized communities with similar incomes is used. Income is a proxy for volume of activities delivered through a Neighbourhood House.</w:t>
      </w:r>
    </w:p>
  </w:footnote>
  <w:footnote w:id="5">
    <w:p w14:paraId="4D5B6D1A" w14:textId="77777777" w:rsidR="00A1438D" w:rsidRDefault="00A1438D" w:rsidP="00A1438D">
      <w:pPr>
        <w:pStyle w:val="FootnoteText"/>
      </w:pPr>
      <w:r>
        <w:rPr>
          <w:rStyle w:val="FootnoteReference"/>
        </w:rPr>
        <w:footnoteRef/>
      </w:r>
      <w:r>
        <w:t xml:space="preserve"> </w:t>
      </w:r>
      <w:hyperlink r:id="rId1" w:history="1">
        <w:r w:rsidRPr="00AA2A68">
          <w:rPr>
            <w:rStyle w:val="Hyperlink"/>
          </w:rPr>
          <w:t>https://www.fundingcentre.com.au/help/valuing-volunteer-labour</w:t>
        </w:r>
      </w:hyperlink>
    </w:p>
  </w:footnote>
  <w:footnote w:id="6">
    <w:p w14:paraId="47755417" w14:textId="77777777" w:rsidR="00A1438D" w:rsidRDefault="00A1438D" w:rsidP="00A1438D">
      <w:pPr>
        <w:pStyle w:val="FootnoteText"/>
      </w:pPr>
      <w:r>
        <w:rPr>
          <w:rStyle w:val="FootnoteReference"/>
        </w:rPr>
        <w:footnoteRef/>
      </w:r>
      <w:r>
        <w:t xml:space="preserve"> </w:t>
      </w:r>
      <w:hyperlink r:id="rId2" w:history="1">
        <w:r w:rsidRPr="00AA2A68">
          <w:rPr>
            <w:rStyle w:val="Hyperlink"/>
          </w:rPr>
          <w:t>https://www.abs.gov.au/ausstats/abs@.nsf/mf/6302.0</w:t>
        </w:r>
      </w:hyperlink>
    </w:p>
  </w:footnote>
  <w:footnote w:id="7">
    <w:p w14:paraId="7B27C16E" w14:textId="77777777" w:rsidR="00A1438D" w:rsidRDefault="00A1438D" w:rsidP="00A1438D">
      <w:pPr>
        <w:pStyle w:val="FootnoteText"/>
      </w:pPr>
      <w:r>
        <w:rPr>
          <w:rStyle w:val="FootnoteReference"/>
        </w:rPr>
        <w:footnoteRef/>
      </w:r>
      <w:r>
        <w:t xml:space="preserve"> </w:t>
      </w:r>
      <w:hyperlink r:id="rId3" w:history="1">
        <w:r w:rsidRPr="00E24CCB">
          <w:rPr>
            <w:rStyle w:val="Hyperlink"/>
          </w:rPr>
          <w:t>https://www.foodbank.org.au/wp-content/uploads/2019/06/Foodbank-Hunger-Report-2014.pdf</w:t>
        </w:r>
      </w:hyperlink>
    </w:p>
  </w:footnote>
  <w:footnote w:id="8">
    <w:p w14:paraId="3F349950" w14:textId="77777777" w:rsidR="00A1438D" w:rsidRDefault="00A1438D" w:rsidP="00A1438D">
      <w:pPr>
        <w:pStyle w:val="FootnoteText"/>
      </w:pPr>
      <w:r>
        <w:rPr>
          <w:rStyle w:val="FootnoteReference"/>
        </w:rPr>
        <w:footnoteRef/>
      </w:r>
      <w:r>
        <w:t xml:space="preserve"> Based on 255 valuations from the 2019 Neighbourhood Houses Survey</w:t>
      </w:r>
    </w:p>
  </w:footnote>
  <w:footnote w:id="9">
    <w:p w14:paraId="5FEA71BF" w14:textId="77777777" w:rsidR="00A1438D" w:rsidRDefault="00A1438D" w:rsidP="00A1438D">
      <w:pPr>
        <w:pStyle w:val="FootnoteText"/>
      </w:pPr>
      <w:r>
        <w:rPr>
          <w:rStyle w:val="FootnoteReference"/>
        </w:rPr>
        <w:footnoteRef/>
      </w:r>
      <w:r>
        <w:t xml:space="preserve"> </w:t>
      </w:r>
      <w:hyperlink r:id="rId4" w:history="1">
        <w:r w:rsidRPr="009B7694">
          <w:rPr>
            <w:rStyle w:val="Hyperlink"/>
          </w:rPr>
          <w:t>https://www.facebook.com/dsinternet512/?rf=710935435612179</w:t>
        </w:r>
      </w:hyperlink>
      <w:r>
        <w:t xml:space="preserve"> </w:t>
      </w:r>
      <w:hyperlink r:id="rId5" w:history="1">
        <w:r w:rsidRPr="009B7694">
          <w:rPr>
            <w:rStyle w:val="Hyperlink"/>
          </w:rPr>
          <w:t>https://www.facebook.com/galaxysonicgaming</w:t>
        </w:r>
      </w:hyperlink>
      <w:r>
        <w:t xml:space="preserve"> </w:t>
      </w:r>
    </w:p>
  </w:footnote>
  <w:footnote w:id="10">
    <w:p w14:paraId="401A8481" w14:textId="77777777" w:rsidR="00A1438D" w:rsidRDefault="00A1438D" w:rsidP="00A1438D">
      <w:pPr>
        <w:pStyle w:val="FootnoteText"/>
      </w:pPr>
      <w:r>
        <w:rPr>
          <w:rStyle w:val="FootnoteReference"/>
        </w:rPr>
        <w:footnoteRef/>
      </w:r>
      <w:r>
        <w:t xml:space="preserve"> </w:t>
      </w:r>
      <w:r w:rsidRPr="003903C4">
        <w:t>https://www.airtasker.com/writing/resume-writing/</w:t>
      </w:r>
    </w:p>
  </w:footnote>
  <w:footnote w:id="11">
    <w:p w14:paraId="545A13B7" w14:textId="77777777" w:rsidR="00A1438D" w:rsidRDefault="00A1438D" w:rsidP="00A1438D">
      <w:pPr>
        <w:pStyle w:val="FootnoteText"/>
      </w:pPr>
      <w:r>
        <w:rPr>
          <w:rStyle w:val="FootnoteReference"/>
        </w:rPr>
        <w:footnoteRef/>
      </w:r>
      <w:r>
        <w:t xml:space="preserve"> </w:t>
      </w:r>
      <w:r w:rsidRPr="00D466EC">
        <w:t>www.taxtoday.com.au/information/fees/</w:t>
      </w:r>
    </w:p>
  </w:footnote>
  <w:footnote w:id="12">
    <w:p w14:paraId="1EB33EEE" w14:textId="77777777" w:rsidR="00A1438D" w:rsidRDefault="00A1438D" w:rsidP="00A1438D">
      <w:pPr>
        <w:pStyle w:val="FootnoteText"/>
      </w:pPr>
      <w:r>
        <w:rPr>
          <w:rStyle w:val="FootnoteReference"/>
        </w:rPr>
        <w:footnoteRef/>
      </w:r>
      <w:r>
        <w:t xml:space="preserve"> </w:t>
      </w:r>
      <w:r w:rsidRPr="00936BA3">
        <w:t>https://www.localcommunityinsurance.com.au/</w:t>
      </w:r>
    </w:p>
  </w:footnote>
  <w:footnote w:id="13">
    <w:p w14:paraId="5D81F611" w14:textId="77777777" w:rsidR="00A1438D" w:rsidRDefault="00A1438D" w:rsidP="00A1438D">
      <w:pPr>
        <w:pStyle w:val="FootnoteText"/>
      </w:pPr>
      <w:r>
        <w:rPr>
          <w:rStyle w:val="FootnoteReference"/>
        </w:rPr>
        <w:footnoteRef/>
      </w:r>
      <w:r>
        <w:t xml:space="preserve"> </w:t>
      </w:r>
      <w:hyperlink r:id="rId6" w:history="1">
        <w:r w:rsidRPr="008D2E82">
          <w:rPr>
            <w:rStyle w:val="Hyperlink"/>
          </w:rPr>
          <w:t>https://www.numbeo.com/cost-of-living/in/Melbourne</w:t>
        </w:r>
      </w:hyperlink>
      <w:r>
        <w:t xml:space="preserve"> , </w:t>
      </w:r>
      <w:hyperlink r:id="rId7" w:anchor="article-1811" w:history="1">
        <w:r w:rsidRPr="008D2E82">
          <w:rPr>
            <w:rStyle w:val="Hyperlink"/>
          </w:rPr>
          <w:t>https://blog.ing.com.au/money-matters/saving/dust-off-your-lunch-boxes/#article-1811</w:t>
        </w:r>
      </w:hyperlink>
      <w:r>
        <w:t xml:space="preserve">, </w:t>
      </w:r>
    </w:p>
  </w:footnote>
  <w:footnote w:id="14">
    <w:p w14:paraId="5DC9E090" w14:textId="77777777" w:rsidR="00A1438D" w:rsidRDefault="00A1438D" w:rsidP="00A1438D">
      <w:pPr>
        <w:pStyle w:val="FootnoteText"/>
      </w:pPr>
      <w:r>
        <w:rPr>
          <w:rStyle w:val="FootnoteReference"/>
        </w:rPr>
        <w:footnoteRef/>
      </w:r>
      <w:r>
        <w:t xml:space="preserve"> </w:t>
      </w:r>
      <w:hyperlink r:id="rId8" w:history="1">
        <w:r w:rsidRPr="009B7694">
          <w:rPr>
            <w:rStyle w:val="Hyperlink"/>
          </w:rPr>
          <w:t>https://www.foodbank.org.au/wp-content/uploads/2019/05/Foodbank-Hunger-in-the-Classroom-Report-May-2015.pdf</w:t>
        </w:r>
      </w:hyperlink>
      <w:r>
        <w:t xml:space="preserve"> </w:t>
      </w:r>
    </w:p>
  </w:footnote>
  <w:footnote w:id="15">
    <w:p w14:paraId="24B8CDDB" w14:textId="77777777" w:rsidR="00A1438D" w:rsidRDefault="00A1438D" w:rsidP="00A1438D">
      <w:pPr>
        <w:pStyle w:val="FootnoteText"/>
      </w:pPr>
      <w:r>
        <w:rPr>
          <w:rStyle w:val="FootnoteReference"/>
        </w:rPr>
        <w:footnoteRef/>
      </w:r>
      <w:r>
        <w:t xml:space="preserve"> </w:t>
      </w:r>
      <w:hyperlink r:id="rId9" w:history="1">
        <w:r w:rsidRPr="009B7694">
          <w:rPr>
            <w:rStyle w:val="Hyperlink"/>
          </w:rPr>
          <w:t>https://melbourneinstitute.unimelb.edu.au/assets/documents/hilda-bibliography/other-publications/pre2010/ACG_economic_benefit_of_investment_adult_education.pdf</w:t>
        </w:r>
      </w:hyperlink>
      <w:r>
        <w:t xml:space="preserve"> </w:t>
      </w:r>
    </w:p>
    <w:p w14:paraId="60BE005B" w14:textId="77777777" w:rsidR="00A1438D" w:rsidRDefault="00A1438D" w:rsidP="00A1438D">
      <w:pPr>
        <w:pStyle w:val="FootnoteText"/>
      </w:pPr>
    </w:p>
  </w:footnote>
  <w:footnote w:id="16">
    <w:p w14:paraId="74208CEE" w14:textId="77777777" w:rsidR="00A1438D" w:rsidRDefault="00A1438D" w:rsidP="00A1438D">
      <w:pPr>
        <w:pStyle w:val="FootnoteText"/>
      </w:pPr>
      <w:r>
        <w:rPr>
          <w:rStyle w:val="FootnoteReference"/>
        </w:rPr>
        <w:footnoteRef/>
      </w:r>
      <w:r>
        <w:t xml:space="preserve"> </w:t>
      </w:r>
      <w:r w:rsidRPr="00AB2194">
        <w:t>South Australian Centre for Economic Studies. The Economic and Social Impact of the Adult Community Education (ACE) Sector.</w:t>
      </w:r>
      <w:r>
        <w:t xml:space="preserve"> </w:t>
      </w:r>
      <w:r w:rsidRPr="00AB2194">
        <w:t>University of Adelaide; 2016.</w:t>
      </w:r>
    </w:p>
  </w:footnote>
  <w:footnote w:id="17">
    <w:p w14:paraId="1FCB798E" w14:textId="77777777" w:rsidR="00A1438D" w:rsidRDefault="00A1438D" w:rsidP="00A1438D">
      <w:pPr>
        <w:pStyle w:val="FootnoteText"/>
      </w:pPr>
      <w:r>
        <w:rPr>
          <w:rStyle w:val="FootnoteReference"/>
        </w:rPr>
        <w:footnoteRef/>
      </w:r>
      <w:r>
        <w:t xml:space="preserve"> h</w:t>
      </w:r>
      <w:r w:rsidRPr="003E1403">
        <w:t>ttps://www.education.vic.gov.au/Documents/about/research/acfepublications/Participation%20training%20outcomes%20and%20patterns%20report_FINAL_Nov%202017.pdf</w:t>
      </w:r>
    </w:p>
  </w:footnote>
  <w:footnote w:id="18">
    <w:p w14:paraId="5C02F00F" w14:textId="77777777" w:rsidR="00A1438D" w:rsidRDefault="00A1438D" w:rsidP="00A1438D">
      <w:pPr>
        <w:pStyle w:val="FootnoteText"/>
      </w:pPr>
      <w:r>
        <w:rPr>
          <w:rStyle w:val="FootnoteReference"/>
        </w:rPr>
        <w:footnoteRef/>
      </w:r>
      <w:r>
        <w:t xml:space="preserve"> </w:t>
      </w:r>
      <w:r w:rsidRPr="003E1403">
        <w:t>http://www.crystaladventures.co.nz/ACE/ACE%20Price%20Waterhouse%20Coopers%20Research%20Summary%20V4.pdf</w:t>
      </w:r>
    </w:p>
  </w:footnote>
  <w:footnote w:id="19">
    <w:p w14:paraId="77C0677B" w14:textId="77777777" w:rsidR="00A1438D" w:rsidRDefault="00A1438D" w:rsidP="00A1438D">
      <w:pPr>
        <w:pStyle w:val="FootnoteText"/>
      </w:pPr>
      <w:r>
        <w:rPr>
          <w:rStyle w:val="FootnoteReference"/>
        </w:rPr>
        <w:footnoteRef/>
      </w:r>
      <w:r>
        <w:t xml:space="preserve"> </w:t>
      </w:r>
      <w:r w:rsidRPr="00AB2194">
        <w:t>https://www.thefrontproject.org.au/images/downloads/ECO%20ANALYSIS%20Full%20Report.pdf</w:t>
      </w:r>
    </w:p>
  </w:footnote>
  <w:footnote w:id="20">
    <w:p w14:paraId="2B4ED970" w14:textId="77777777" w:rsidR="00A1438D" w:rsidRDefault="00A1438D" w:rsidP="00A1438D">
      <w:pPr>
        <w:pStyle w:val="FootnoteText"/>
      </w:pPr>
      <w:r>
        <w:rPr>
          <w:rStyle w:val="FootnoteReference"/>
        </w:rPr>
        <w:footnoteRef/>
      </w:r>
      <w:r>
        <w:t xml:space="preserve"> </w:t>
      </w:r>
      <w:r w:rsidRPr="001553F9">
        <w:t>https://www.acnc.gov.au%2Ftools%2Freports%2Feconomic-contribution-australian-charity-sector&amp;usg=AOvVaw2R-20vVOybpm8ctvW5xsCY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098"/>
    <w:multiLevelType w:val="hybridMultilevel"/>
    <w:tmpl w:val="3396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F6E54"/>
    <w:multiLevelType w:val="hybridMultilevel"/>
    <w:tmpl w:val="FC6C7C34"/>
    <w:lvl w:ilvl="0" w:tplc="2938AB58">
      <w:numFmt w:val="bullet"/>
      <w:lvlText w:val="·"/>
      <w:lvlJc w:val="left"/>
      <w:pPr>
        <w:ind w:left="720" w:hanging="360"/>
      </w:pPr>
      <w:rPr>
        <w:rFonts w:ascii="Century Gothic" w:eastAsia="Times New Roman" w:hAnsi="Century Gothic"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C72C7"/>
    <w:multiLevelType w:val="hybridMultilevel"/>
    <w:tmpl w:val="3814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24D22"/>
    <w:multiLevelType w:val="hybridMultilevel"/>
    <w:tmpl w:val="997A55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506343D"/>
    <w:multiLevelType w:val="hybridMultilevel"/>
    <w:tmpl w:val="25A21256"/>
    <w:lvl w:ilvl="0" w:tplc="0C090001">
      <w:start w:val="1"/>
      <w:numFmt w:val="bullet"/>
      <w:lvlText w:val=""/>
      <w:lvlJc w:val="left"/>
      <w:pPr>
        <w:ind w:left="720" w:hanging="360"/>
      </w:pPr>
      <w:rPr>
        <w:rFonts w:ascii="Symbol" w:hAnsi="Symbol" w:hint="default"/>
        <w:sz w:val="24"/>
      </w:rPr>
    </w:lvl>
    <w:lvl w:ilvl="1" w:tplc="B63EE004">
      <w:numFmt w:val="bullet"/>
      <w:lvlText w:val="·"/>
      <w:lvlJc w:val="left"/>
      <w:pPr>
        <w:ind w:left="1440" w:hanging="360"/>
      </w:pPr>
      <w:rPr>
        <w:rFonts w:ascii="Century Gothic" w:eastAsia="Times New Roman" w:hAnsi="Century Gothic" w:cs="Calibri"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8004D"/>
    <w:multiLevelType w:val="hybridMultilevel"/>
    <w:tmpl w:val="61128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4E28C1"/>
    <w:multiLevelType w:val="hybridMultilevel"/>
    <w:tmpl w:val="4190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9D580C"/>
    <w:multiLevelType w:val="hybridMultilevel"/>
    <w:tmpl w:val="2B38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274D0E"/>
    <w:multiLevelType w:val="hybridMultilevel"/>
    <w:tmpl w:val="AE62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107F1B"/>
    <w:multiLevelType w:val="hybridMultilevel"/>
    <w:tmpl w:val="27821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3"/>
  </w:num>
  <w:num w:numId="6">
    <w:abstractNumId w:val="6"/>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7"/>
    <w:rsid w:val="00067FB2"/>
    <w:rsid w:val="0007546E"/>
    <w:rsid w:val="00076DA2"/>
    <w:rsid w:val="000A2361"/>
    <w:rsid w:val="000F5871"/>
    <w:rsid w:val="000F66D5"/>
    <w:rsid w:val="0015394D"/>
    <w:rsid w:val="001D7D0B"/>
    <w:rsid w:val="001E722A"/>
    <w:rsid w:val="002017F1"/>
    <w:rsid w:val="00223271"/>
    <w:rsid w:val="002328FA"/>
    <w:rsid w:val="0025510C"/>
    <w:rsid w:val="002916A2"/>
    <w:rsid w:val="003855AE"/>
    <w:rsid w:val="003E1403"/>
    <w:rsid w:val="00421B49"/>
    <w:rsid w:val="00442C3D"/>
    <w:rsid w:val="004716CB"/>
    <w:rsid w:val="004A37A0"/>
    <w:rsid w:val="00502524"/>
    <w:rsid w:val="00522DDE"/>
    <w:rsid w:val="00552DD9"/>
    <w:rsid w:val="00553FA2"/>
    <w:rsid w:val="00577946"/>
    <w:rsid w:val="00591101"/>
    <w:rsid w:val="005C4DD3"/>
    <w:rsid w:val="005D22D2"/>
    <w:rsid w:val="005E67FD"/>
    <w:rsid w:val="005F61DC"/>
    <w:rsid w:val="006063A4"/>
    <w:rsid w:val="00620790"/>
    <w:rsid w:val="00626705"/>
    <w:rsid w:val="00641C7D"/>
    <w:rsid w:val="0064213C"/>
    <w:rsid w:val="0064221C"/>
    <w:rsid w:val="00661098"/>
    <w:rsid w:val="00690574"/>
    <w:rsid w:val="006D5A97"/>
    <w:rsid w:val="006F67BD"/>
    <w:rsid w:val="00743D2E"/>
    <w:rsid w:val="00760725"/>
    <w:rsid w:val="007E1434"/>
    <w:rsid w:val="007E674E"/>
    <w:rsid w:val="00807ED8"/>
    <w:rsid w:val="0082436E"/>
    <w:rsid w:val="0084658B"/>
    <w:rsid w:val="00856BDE"/>
    <w:rsid w:val="00880457"/>
    <w:rsid w:val="008841E1"/>
    <w:rsid w:val="008A035B"/>
    <w:rsid w:val="008B16CD"/>
    <w:rsid w:val="008B561C"/>
    <w:rsid w:val="008D5898"/>
    <w:rsid w:val="00903937"/>
    <w:rsid w:val="00921884"/>
    <w:rsid w:val="00960A8D"/>
    <w:rsid w:val="009623D6"/>
    <w:rsid w:val="009774C8"/>
    <w:rsid w:val="009B5152"/>
    <w:rsid w:val="009B61FA"/>
    <w:rsid w:val="009C1791"/>
    <w:rsid w:val="009D4573"/>
    <w:rsid w:val="009F72DF"/>
    <w:rsid w:val="00A06EFE"/>
    <w:rsid w:val="00A1438D"/>
    <w:rsid w:val="00A20894"/>
    <w:rsid w:val="00A2159C"/>
    <w:rsid w:val="00A97C81"/>
    <w:rsid w:val="00AB2194"/>
    <w:rsid w:val="00AD2191"/>
    <w:rsid w:val="00B06A32"/>
    <w:rsid w:val="00B14002"/>
    <w:rsid w:val="00B52378"/>
    <w:rsid w:val="00B65E96"/>
    <w:rsid w:val="00B70A5D"/>
    <w:rsid w:val="00BB43EB"/>
    <w:rsid w:val="00BE482F"/>
    <w:rsid w:val="00C12025"/>
    <w:rsid w:val="00C21BAE"/>
    <w:rsid w:val="00C7325E"/>
    <w:rsid w:val="00CB5429"/>
    <w:rsid w:val="00CD0AD4"/>
    <w:rsid w:val="00D24894"/>
    <w:rsid w:val="00D60895"/>
    <w:rsid w:val="00D849B8"/>
    <w:rsid w:val="00DA4987"/>
    <w:rsid w:val="00DE15AF"/>
    <w:rsid w:val="00DE251A"/>
    <w:rsid w:val="00E36492"/>
    <w:rsid w:val="00EE2BC7"/>
    <w:rsid w:val="00F0175A"/>
    <w:rsid w:val="00F103DA"/>
    <w:rsid w:val="00F6046C"/>
    <w:rsid w:val="00FA396B"/>
    <w:rsid w:val="00FC2512"/>
    <w:rsid w:val="00FD2C14"/>
    <w:rsid w:val="00FD6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5DB5"/>
  <w15:chartTrackingRefBased/>
  <w15:docId w15:val="{E2B22E8D-2859-49A0-9E12-8CBB40CC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94"/>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AD2191"/>
    <w:pPr>
      <w:keepNext/>
      <w:keepLines/>
      <w:spacing w:before="240" w:after="0" w:line="259" w:lineRule="auto"/>
      <w:outlineLvl w:val="0"/>
    </w:pPr>
    <w:rPr>
      <w:rFonts w:asciiTheme="majorHAnsi" w:eastAsiaTheme="majorEastAsia" w:hAnsiTheme="majorHAnsi" w:cstheme="majorBidi"/>
      <w:b/>
      <w:color w:val="2F5496"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AD2191"/>
    <w:pPr>
      <w:keepNext/>
      <w:keepLines/>
      <w:spacing w:before="40" w:after="0" w:line="259" w:lineRule="auto"/>
      <w:outlineLvl w:val="1"/>
    </w:pPr>
    <w:rPr>
      <w:rFonts w:asciiTheme="majorHAnsi" w:eastAsiaTheme="majorEastAsia" w:hAnsiTheme="majorHAnsi" w:cstheme="majorBidi"/>
      <w:b/>
      <w:color w:val="2F5496" w:themeColor="accent1" w:themeShade="BF"/>
      <w:kern w:val="0"/>
      <w:sz w:val="26"/>
      <w:szCs w:val="26"/>
      <w:lang w:eastAsia="en-US"/>
      <w14:ligatures w14:val="none"/>
      <w14:cntxtAlts w14:val="0"/>
    </w:rPr>
  </w:style>
  <w:style w:type="paragraph" w:styleId="Heading3">
    <w:name w:val="heading 3"/>
    <w:basedOn w:val="Normal"/>
    <w:next w:val="Normal"/>
    <w:link w:val="Heading3Char"/>
    <w:uiPriority w:val="9"/>
    <w:unhideWhenUsed/>
    <w:qFormat/>
    <w:rsid w:val="00AD2191"/>
    <w:pPr>
      <w:keepNext/>
      <w:keepLines/>
      <w:spacing w:before="40" w:after="0" w:line="259" w:lineRule="auto"/>
      <w:outlineLvl w:val="2"/>
    </w:pPr>
    <w:rPr>
      <w:rFonts w:asciiTheme="majorHAnsi" w:eastAsiaTheme="majorEastAsia" w:hAnsiTheme="majorHAnsi" w:cstheme="majorBidi"/>
      <w:color w:val="1F3763" w:themeColor="accent1" w:themeShade="7F"/>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DDE"/>
    <w:pPr>
      <w:spacing w:after="0" w:line="256" w:lineRule="auto"/>
    </w:pPr>
    <w:rPr>
      <w:rFonts w:ascii="Calibri" w:eastAsia="Times New Roman" w:hAnsi="Calibri" w:cs="Calibri"/>
      <w:color w:val="000000"/>
      <w:kern w:val="28"/>
      <w:sz w:val="24"/>
      <w:szCs w:val="24"/>
      <w:lang w:eastAsia="en-AU"/>
      <w14:ligatures w14:val="standard"/>
      <w14:cntxtAlts/>
    </w:rPr>
  </w:style>
  <w:style w:type="paragraph" w:styleId="ListParagraph">
    <w:name w:val="List Paragraph"/>
    <w:basedOn w:val="Normal"/>
    <w:uiPriority w:val="34"/>
    <w:qFormat/>
    <w:rsid w:val="008B16CD"/>
    <w:pPr>
      <w:ind w:left="720"/>
      <w:contextualSpacing/>
    </w:pPr>
  </w:style>
  <w:style w:type="character" w:customStyle="1" w:styleId="Heading1Char">
    <w:name w:val="Heading 1 Char"/>
    <w:basedOn w:val="DefaultParagraphFont"/>
    <w:link w:val="Heading1"/>
    <w:uiPriority w:val="9"/>
    <w:rsid w:val="00AD2191"/>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D2191"/>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AD219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AD2191"/>
    <w:pPr>
      <w:spacing w:after="0" w:line="240" w:lineRule="auto"/>
    </w:pPr>
    <w:rPr>
      <w:rFonts w:asciiTheme="minorHAnsi" w:eastAsiaTheme="minorHAnsi" w:hAnsiTheme="minorHAnsi" w:cstheme="minorBidi"/>
      <w:color w:val="auto"/>
      <w:kern w:val="0"/>
      <w:lang w:eastAsia="en-US"/>
      <w14:ligatures w14:val="none"/>
      <w14:cntxtAlts w14:val="0"/>
    </w:rPr>
  </w:style>
  <w:style w:type="character" w:customStyle="1" w:styleId="FootnoteTextChar">
    <w:name w:val="Footnote Text Char"/>
    <w:basedOn w:val="DefaultParagraphFont"/>
    <w:link w:val="FootnoteText"/>
    <w:uiPriority w:val="99"/>
    <w:semiHidden/>
    <w:rsid w:val="00AD2191"/>
    <w:rPr>
      <w:sz w:val="20"/>
      <w:szCs w:val="20"/>
    </w:rPr>
  </w:style>
  <w:style w:type="character" w:styleId="FootnoteReference">
    <w:name w:val="footnote reference"/>
    <w:basedOn w:val="DefaultParagraphFont"/>
    <w:uiPriority w:val="99"/>
    <w:semiHidden/>
    <w:unhideWhenUsed/>
    <w:rsid w:val="00AD2191"/>
    <w:rPr>
      <w:vertAlign w:val="superscript"/>
    </w:rPr>
  </w:style>
  <w:style w:type="character" w:styleId="Hyperlink">
    <w:name w:val="Hyperlink"/>
    <w:basedOn w:val="DefaultParagraphFont"/>
    <w:uiPriority w:val="99"/>
    <w:unhideWhenUsed/>
    <w:rsid w:val="00AD2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0658">
      <w:bodyDiv w:val="1"/>
      <w:marLeft w:val="0"/>
      <w:marRight w:val="0"/>
      <w:marTop w:val="0"/>
      <w:marBottom w:val="0"/>
      <w:divBdr>
        <w:top w:val="none" w:sz="0" w:space="0" w:color="auto"/>
        <w:left w:val="none" w:sz="0" w:space="0" w:color="auto"/>
        <w:bottom w:val="none" w:sz="0" w:space="0" w:color="auto"/>
        <w:right w:val="none" w:sz="0" w:space="0" w:color="auto"/>
      </w:divBdr>
    </w:div>
    <w:div w:id="855928587">
      <w:bodyDiv w:val="1"/>
      <w:marLeft w:val="0"/>
      <w:marRight w:val="0"/>
      <w:marTop w:val="0"/>
      <w:marBottom w:val="0"/>
      <w:divBdr>
        <w:top w:val="none" w:sz="0" w:space="0" w:color="auto"/>
        <w:left w:val="none" w:sz="0" w:space="0" w:color="auto"/>
        <w:bottom w:val="none" w:sz="0" w:space="0" w:color="auto"/>
        <w:right w:val="none" w:sz="0" w:space="0" w:color="auto"/>
      </w:divBdr>
    </w:div>
    <w:div w:id="902060876">
      <w:bodyDiv w:val="1"/>
      <w:marLeft w:val="0"/>
      <w:marRight w:val="0"/>
      <w:marTop w:val="0"/>
      <w:marBottom w:val="0"/>
      <w:divBdr>
        <w:top w:val="none" w:sz="0" w:space="0" w:color="auto"/>
        <w:left w:val="none" w:sz="0" w:space="0" w:color="auto"/>
        <w:bottom w:val="none" w:sz="0" w:space="0" w:color="auto"/>
        <w:right w:val="none" w:sz="0" w:space="0" w:color="auto"/>
      </w:divBdr>
    </w:div>
    <w:div w:id="926504276">
      <w:bodyDiv w:val="1"/>
      <w:marLeft w:val="0"/>
      <w:marRight w:val="0"/>
      <w:marTop w:val="0"/>
      <w:marBottom w:val="0"/>
      <w:divBdr>
        <w:top w:val="none" w:sz="0" w:space="0" w:color="auto"/>
        <w:left w:val="none" w:sz="0" w:space="0" w:color="auto"/>
        <w:bottom w:val="none" w:sz="0" w:space="0" w:color="auto"/>
        <w:right w:val="none" w:sz="0" w:space="0" w:color="auto"/>
      </w:divBdr>
    </w:div>
    <w:div w:id="1395003872">
      <w:bodyDiv w:val="1"/>
      <w:marLeft w:val="0"/>
      <w:marRight w:val="0"/>
      <w:marTop w:val="0"/>
      <w:marBottom w:val="0"/>
      <w:divBdr>
        <w:top w:val="none" w:sz="0" w:space="0" w:color="auto"/>
        <w:left w:val="none" w:sz="0" w:space="0" w:color="auto"/>
        <w:bottom w:val="none" w:sz="0" w:space="0" w:color="auto"/>
        <w:right w:val="none" w:sz="0" w:space="0" w:color="auto"/>
      </w:divBdr>
    </w:div>
    <w:div w:id="1601984997">
      <w:bodyDiv w:val="1"/>
      <w:marLeft w:val="0"/>
      <w:marRight w:val="0"/>
      <w:marTop w:val="0"/>
      <w:marBottom w:val="0"/>
      <w:divBdr>
        <w:top w:val="none" w:sz="0" w:space="0" w:color="auto"/>
        <w:left w:val="none" w:sz="0" w:space="0" w:color="auto"/>
        <w:bottom w:val="none" w:sz="0" w:space="0" w:color="auto"/>
        <w:right w:val="none" w:sz="0" w:space="0" w:color="auto"/>
      </w:divBdr>
    </w:div>
    <w:div w:id="1888952494">
      <w:bodyDiv w:val="1"/>
      <w:marLeft w:val="0"/>
      <w:marRight w:val="0"/>
      <w:marTop w:val="0"/>
      <w:marBottom w:val="0"/>
      <w:divBdr>
        <w:top w:val="none" w:sz="0" w:space="0" w:color="auto"/>
        <w:left w:val="none" w:sz="0" w:space="0" w:color="auto"/>
        <w:bottom w:val="none" w:sz="0" w:space="0" w:color="auto"/>
        <w:right w:val="none" w:sz="0" w:space="0" w:color="auto"/>
      </w:divBdr>
    </w:div>
    <w:div w:id="19015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foodbank.org.au/wp-content/uploads/2019/05/Foodbank-Hunger-in-the-Classroom-Report-May-2015.pdf" TargetMode="External"/><Relationship Id="rId3" Type="http://schemas.openxmlformats.org/officeDocument/2006/relationships/hyperlink" Target="https://www.foodbank.org.au/wp-content/uploads/2019/06/Foodbank-Hunger-Report-2014.pdf" TargetMode="External"/><Relationship Id="rId7" Type="http://schemas.openxmlformats.org/officeDocument/2006/relationships/hyperlink" Target="https://blog.ing.com.au/money-matters/saving/dust-off-your-lunch-boxes/" TargetMode="External"/><Relationship Id="rId2" Type="http://schemas.openxmlformats.org/officeDocument/2006/relationships/hyperlink" Target="https://www.abs.gov.au/ausstats/abs@.nsf/mf/6302.0" TargetMode="External"/><Relationship Id="rId1" Type="http://schemas.openxmlformats.org/officeDocument/2006/relationships/hyperlink" Target="https://www.fundingcentre.com.au/help/valuing-volunteer-labour" TargetMode="External"/><Relationship Id="rId6" Type="http://schemas.openxmlformats.org/officeDocument/2006/relationships/hyperlink" Target="https://www.numbeo.com/cost-of-living/in/Melbourne" TargetMode="External"/><Relationship Id="rId5" Type="http://schemas.openxmlformats.org/officeDocument/2006/relationships/hyperlink" Target="https://www.facebook.com/galaxysonicgaming" TargetMode="External"/><Relationship Id="rId4" Type="http://schemas.openxmlformats.org/officeDocument/2006/relationships/hyperlink" Target="https://www.facebook.com/dsinternet512/?rf=710935435612179" TargetMode="External"/><Relationship Id="rId9" Type="http://schemas.openxmlformats.org/officeDocument/2006/relationships/hyperlink" Target="https://melbourneinstitute.unimelb.edu.au/assets/documents/hilda-bibliography/other-publications/pre2010/ACG_economic_benefit_of_investment_adult_edu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NHLCI\Neighbourhood%20Houses%20Victoria%20Inc\Resources%20-%20Research\Surveys\Mmbrs%20Surveys\2019\Reports\NH%20Survey%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406F723A7D04BBD4B5F491CE0F713" ma:contentTypeVersion="11" ma:contentTypeDescription="Create a new document." ma:contentTypeScope="" ma:versionID="2c135f8d1e23f4ce05ec9f50d6e8725a">
  <xsd:schema xmlns:xsd="http://www.w3.org/2001/XMLSchema" xmlns:xs="http://www.w3.org/2001/XMLSchema" xmlns:p="http://schemas.microsoft.com/office/2006/metadata/properties" xmlns:ns2="f20065fc-c039-4a95-a213-4c579c2563aa" xmlns:ns3="6855be08-b5d3-4f13-b158-bf089314da1c" targetNamespace="http://schemas.microsoft.com/office/2006/metadata/properties" ma:root="true" ma:fieldsID="b62060118eedcc0d9fd397eb44b496f9" ns2:_="" ns3:_="">
    <xsd:import namespace="f20065fc-c039-4a95-a213-4c579c2563aa"/>
    <xsd:import namespace="6855be08-b5d3-4f13-b158-bf089314da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065fc-c039-4a95-a213-4c579c25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5be08-b5d3-4f13-b158-bf089314d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D587-ACBB-4B43-B104-6A2B894D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065fc-c039-4a95-a213-4c579c2563aa"/>
    <ds:schemaRef ds:uri="6855be08-b5d3-4f13-b158-bf089314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E75A6-A8DD-4749-A2A7-BC528F256FA1}">
  <ds:schemaRefs>
    <ds:schemaRef ds:uri="http://schemas.microsoft.com/sharepoint/v3/contenttype/forms"/>
  </ds:schemaRefs>
</ds:datastoreItem>
</file>

<file path=customXml/itemProps3.xml><?xml version="1.0" encoding="utf-8"?>
<ds:datastoreItem xmlns:ds="http://schemas.openxmlformats.org/officeDocument/2006/customXml" ds:itemID="{EC9E2131-A3CF-483C-8616-D653648B6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CCC47-5645-40A5-9D13-227E867D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 Survey Profile</Template>
  <TotalTime>1</TotalTime>
  <Pages>10</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dc:creator>
  <cp:keywords/>
  <dc:description/>
  <cp:lastModifiedBy>Toni Halloran-Lavelle</cp:lastModifiedBy>
  <cp:revision>2</cp:revision>
  <dcterms:created xsi:type="dcterms:W3CDTF">2020-09-08T07:47:00Z</dcterms:created>
  <dcterms:modified xsi:type="dcterms:W3CDTF">2020-09-08T07:47:00Z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0x010100460406F723A7D04BBD4B5F491CE0F713</vt:lpwstr>
  </property>
</Properties>
</file>